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80" w:line="276" w:lineRule="auto"/>
        <w:rPr/>
      </w:pPr>
      <w:r w:rsidDel="00000000" w:rsidR="00000000" w:rsidRPr="00000000">
        <w:rPr>
          <w:rFonts w:ascii="Aptos" w:cs="Aptos" w:eastAsia="Aptos" w:hAnsi="Aptos"/>
          <w:b w:val="1"/>
          <w:bCs w:val="1"/>
          <w:sz w:val="36"/>
          <w:szCs w:val="36"/>
          <w:rtl w:val="0"/>
        </w:rPr>
        <w:t xml:space="preserve">RNC Skejby - ReMind Value Dossier</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Aptos" w:cs="Aptos" w:eastAsia="Aptos" w:hAnsi="Aptos"/>
          <w:sz w:val="24"/>
          <w:szCs w:val="24"/>
          <w:rtl w:val="0"/>
        </w:rPr>
        <w:t xml:space="preserve">Neuroinflammation som primær patofysiologisk arbejdshypotese - klinisk kvalitetsdatasæt med STROBE-struktur - Version 1.8.2</w:t>
      </w:r>
      <w:r w:rsidDel="00000000" w:rsidR="00000000" w:rsidRPr="00000000">
        <w:rPr>
          <w:rtl w:val="0"/>
        </w:rPr>
      </w:r>
    </w:p>
    <w:p w:rsidR="00000000" w:rsidDel="00000000" w:rsidP="00000000" w:rsidRDefault="00000000" w:rsidRPr="00000000" w14:paraId="00000003">
      <w:pPr>
        <w:spacing w:after="80" w:lineRule="auto"/>
        <w:jc w:val="center"/>
        <w:rPr/>
      </w:pPr>
      <w:r w:rsidDel="00000000" w:rsidR="00000000" w:rsidRPr="00000000">
        <w:rPr>
          <w:rtl w:val="0"/>
        </w:rPr>
        <w:t xml:space="preserve">Dato: 4. september 2026</w:t>
      </w:r>
    </w:p>
    <w:p w:rsidR="00000000" w:rsidDel="00000000" w:rsidP="00000000" w:rsidRDefault="00000000" w:rsidRPr="00000000" w14:paraId="00000004">
      <w:pPr>
        <w:spacing w:after="80" w:lineRule="auto"/>
        <w:rPr/>
      </w:pPr>
      <w:r w:rsidDel="00000000" w:rsidR="00000000" w:rsidRPr="00000000">
        <w:rPr>
          <w:rtl w:val="0"/>
        </w:rPr>
        <w:t xml:space="preserve">Forfatter(e): RNC Skejby (gruppeforfatterskab).</w:t>
      </w:r>
    </w:p>
    <w:p w:rsidR="00000000" w:rsidDel="00000000" w:rsidP="00000000" w:rsidRDefault="00000000" w:rsidRPr="00000000" w14:paraId="00000005">
      <w:pPr>
        <w:spacing w:after="80" w:lineRule="auto"/>
        <w:rPr/>
      </w:pPr>
      <w:r w:rsidDel="00000000" w:rsidR="00000000" w:rsidRPr="00000000">
        <w:rPr>
          <w:rtl w:val="0"/>
        </w:rPr>
        <w:t xml:space="preserve">Kontakt: RNC Skejby, Olof Palmes Alle 40, 8200 Aarhus N, Info@rnklinik.dk, TLF: 88448860.</w:t>
      </w:r>
    </w:p>
    <w:p w:rsidR="00000000" w:rsidDel="00000000" w:rsidP="00000000" w:rsidRDefault="00000000" w:rsidRPr="00000000" w14:paraId="00000006">
      <w:pPr>
        <w:spacing w:after="80" w:lineRule="auto"/>
        <w:rPr/>
      </w:pPr>
      <w:r w:rsidDel="00000000" w:rsidR="00000000" w:rsidRPr="00000000">
        <w:rPr>
          <w:rtl w:val="0"/>
        </w:rPr>
        <w:t xml:space="preserve">Datagrundlag: klinisk kvalitetsdata fra rutinebehandling (før/efter uden kontrolgruppe) med kvantitative målinger af endepunkter (Modified FSS-9, VAS og præstationsbaseret reaktionstid). Dossieret er struktureret omkring en neuroinflammation-først model, men fastholder samtlige metode- og databeskrivelser for det foreliggende kvalitetsdatasæt.</w:t>
      </w:r>
    </w:p>
    <w:p w:rsidR="00000000" w:rsidDel="00000000" w:rsidP="00000000" w:rsidRDefault="00000000" w:rsidRPr="00000000" w14:paraId="00000007">
      <w:pPr>
        <w:pStyle w:val="Heading1"/>
        <w:rPr/>
      </w:pPr>
      <w:r w:rsidDel="00000000" w:rsidR="00000000" w:rsidRPr="00000000">
        <w:rPr>
          <w:rtl w:val="0"/>
        </w:rPr>
        <w:t xml:space="preserve">Resumé</w:t>
      </w:r>
    </w:p>
    <w:p w:rsidR="00000000" w:rsidDel="00000000" w:rsidP="00000000" w:rsidRDefault="00000000" w:rsidRPr="00000000" w14:paraId="00000008">
      <w:pPr>
        <w:spacing w:after="120" w:lineRule="auto"/>
        <w:rPr/>
      </w:pPr>
      <w:r w:rsidDel="00000000" w:rsidR="00000000" w:rsidRPr="00000000">
        <w:rPr>
          <w:rtl w:val="0"/>
        </w:rPr>
        <w:t xml:space="preserve">Baggrund: Vedvarende symptomer efter apopleksi, traumatisk hjerneskade (TBI) og hjernerystelse er ofte ledsaget af udtalt træthed, hovedpine, smerter samt kognitiv og sensorimotorisk dysfunktion. En tværgående læsning af litteraturen peger på, at persisterende symptomer hos en del af patientpopulationen kan være forbundet med vedvarende neuroimmune, neurovaskulære og fysiologiske forstyrrelser, hvor mikroglia, astrocytter, blod-hjerne-barrieren, DAMP-signaler og cytokiner - herunder TNF-α - udgør en sammenhængende biologisk akse. Ved hjernerystelse understøtter Buffalo/Leddy-litteraturen desuden, at en undergruppe har målbar autonom og cerebrovaskulær dysregulation samt exercise intolerance.</w:t>
      </w:r>
    </w:p>
    <w:p w:rsidR="00000000" w:rsidDel="00000000" w:rsidP="00000000" w:rsidRDefault="00000000" w:rsidRPr="00000000" w14:paraId="00000009">
      <w:pPr>
        <w:spacing w:after="120" w:lineRule="auto"/>
        <w:rPr/>
      </w:pPr>
      <w:r w:rsidDel="00000000" w:rsidR="00000000" w:rsidRPr="00000000">
        <w:rPr>
          <w:rtl w:val="0"/>
        </w:rPr>
        <w:t xml:space="preserve">Formål: At beskrive ændringer i kliniske endepunkter i et klinisk kvalitetsdatasæt fra RNC Skejby efter et standardiseret ReMind-forløb med perispinal etanercept (PSE), og at placere disse data i en fagligt defensibel model, hvor neuroinflammation anvendes som primær patofysiologisk arbejdshypotese.</w:t>
      </w:r>
    </w:p>
    <w:p w:rsidR="00000000" w:rsidDel="00000000" w:rsidP="00000000" w:rsidRDefault="00000000" w:rsidRPr="00000000" w14:paraId="0000000A">
      <w:pPr>
        <w:spacing w:after="120" w:lineRule="auto"/>
        <w:rPr/>
      </w:pPr>
      <w:r w:rsidDel="00000000" w:rsidR="00000000" w:rsidRPr="00000000">
        <w:rPr>
          <w:rtl w:val="0"/>
        </w:rPr>
        <w:t xml:space="preserve">Metoder: Før-/efter-evaluering i rutinebehandling. Behandlingen bestod af etanercept 25 mg administreret perispinalt ved to behandlinger med syv dages interval. Måling før behandling blev foretaget dagen før første behandling, og opfølgende måling syv dage efter anden behandling. Endepunkterne var træthed målt med Modified FSS-9 (1-6), angivet som gennemsnittet af itemscorerne; hovedpine målt ved VAS 0-10; og reaktionstid målt ved Extinction-test (30 forsøg; manglende respons scoret som 2,0 s; reaktionstid rapporteres separat). Klinisk relevant forbedring blev defineret som &gt;=1,0 point for træthed og &gt;=3 point for hovedpine.</w:t>
      </w:r>
    </w:p>
    <w:p w:rsidR="00000000" w:rsidDel="00000000" w:rsidP="00000000" w:rsidRDefault="00000000" w:rsidRPr="00000000" w14:paraId="0000000B">
      <w:pPr>
        <w:spacing w:after="120" w:lineRule="auto"/>
        <w:rPr/>
      </w:pPr>
      <w:r w:rsidDel="00000000" w:rsidR="00000000" w:rsidRPr="00000000">
        <w:rPr>
          <w:rtl w:val="0"/>
        </w:rPr>
        <w:t xml:space="preserve">Resultater: I stroke-/TBI-kohorten faldt træthed fra 4,11 til 2,42 (Δ 1,69; responderandel 77 %), og i hjernerystelseskohorten fra 4,42 til 2,70 (Δ 1,72; responderandel 65 %). Hovedpine faldt i hjernerystelseskohorten fra 7,55 til 2,68 (Δ 4,87; responderandel 81 %). Reaktionstid forbedredes i begge kohorter, og den gennemsnitlige normaliserede procentvise forbedring var 29,0 % blandt evaluérbare patienter med stroke/TBI og 57,3 % blandt evaluérbare patienter med hjernerystelse.</w:t>
      </w:r>
    </w:p>
    <w:p w:rsidR="00000000" w:rsidDel="00000000" w:rsidP="00000000" w:rsidRDefault="00000000" w:rsidRPr="00000000" w14:paraId="0000000C">
      <w:pPr>
        <w:spacing w:after="120" w:lineRule="auto"/>
        <w:rPr/>
      </w:pPr>
      <w:r w:rsidDel="00000000" w:rsidR="00000000" w:rsidRPr="00000000">
        <w:rPr>
          <w:rtl w:val="0"/>
        </w:rPr>
        <w:t xml:space="preserve">Konklusion: Det foreliggende kliniske kvalitetsdatasæt viser gennemgående før-/efter-ændringer i træthed, hovedpine og reaktionstid efter et standardiseret PSE-forløb. Data er forenelige med - men dokumenterer ikke - en model, hvor vedvarende neuroinflammatoriske og neurofysiologiske processer bidrager til symptombelastning efter hjerneskade. Resultaterne bør fortolkes som hypotesegenererende observationer fra klinisk rutinepraksis og kan ikke forstås som dokumentation for kausal behandlingseffekt uden komparator og længere opfølgning.</w:t>
      </w:r>
    </w:p>
    <w:p w:rsidR="00000000" w:rsidDel="00000000" w:rsidP="00000000" w:rsidRDefault="00000000" w:rsidRPr="00000000" w14:paraId="0000000D">
      <w:pPr>
        <w:spacing w:after="120" w:lineRule="auto"/>
        <w:rPr/>
      </w:pPr>
      <w:r w:rsidDel="00000000" w:rsidR="00000000" w:rsidRPr="00000000">
        <w:rPr>
          <w:rtl w:val="0"/>
        </w:rPr>
        <w:t xml:space="preserve">Nøgleord: perispinal etanercept; ReMind; kliniske rutinedata; neuroinflammation; træthed; hjernerystelse; apopleksi; TBI; STROBE.</w:t>
      </w:r>
    </w:p>
    <w:p w:rsidR="00000000" w:rsidDel="00000000" w:rsidP="00000000" w:rsidRDefault="00000000" w:rsidRPr="00000000" w14:paraId="0000000E">
      <w:pPr>
        <w:pStyle w:val="Heading1"/>
        <w:rPr/>
      </w:pPr>
      <w:r w:rsidDel="00000000" w:rsidR="00000000" w:rsidRPr="00000000">
        <w:rPr>
          <w:rtl w:val="0"/>
        </w:rPr>
        <w:t xml:space="preserve">Introduktion</w:t>
      </w:r>
    </w:p>
    <w:p w:rsidR="00000000" w:rsidDel="00000000" w:rsidP="00000000" w:rsidRDefault="00000000" w:rsidRPr="00000000" w14:paraId="0000000F">
      <w:pPr>
        <w:spacing w:after="120" w:lineRule="auto"/>
        <w:rPr/>
      </w:pPr>
      <w:r w:rsidDel="00000000" w:rsidR="00000000" w:rsidRPr="00000000">
        <w:rPr>
          <w:rFonts w:ascii="Aptos" w:cs="Aptos" w:eastAsia="Aptos" w:hAnsi="Aptos"/>
          <w:sz w:val="21"/>
          <w:szCs w:val="21"/>
          <w:rtl w:val="0"/>
        </w:rPr>
        <w:t xml:space="preserve">Vedvarende symptomer efter apopleksi, traumatisk hjerneskade (TBI) og hjernerystelse omfatter ofte udtalt træthed, smerter, hovedpine, kognitive vanskeligheder og nedsat funktionsevne. Et fagligt robust value dossier må derfor ikke alene beskrive en intervention, men også den biologiske model interventionen placeres i. I denne udgave anvendes neuroinflammation som den primære patofysiologiske arbejdshypotese, fordi en tværgående læsning af litteraturen på tværs af stroke, TBI og hjernerystelse peger på konvergerende mekanismer: glial aktivering, cytokinsignalering, DAMP-respons, blod-hjerne-barriere-dysfunktion og neurovaskulær/fysiologisk dysregulation.</w:t>
      </w:r>
      <w:r w:rsidDel="00000000" w:rsidR="00000000" w:rsidRPr="00000000">
        <w:rPr>
          <w:rtl w:val="0"/>
        </w:rPr>
      </w:r>
    </w:p>
    <w:p w:rsidR="00000000" w:rsidDel="00000000" w:rsidP="00000000" w:rsidRDefault="00000000" w:rsidRPr="00000000" w14:paraId="00000010">
      <w:pPr>
        <w:pStyle w:val="Heading2"/>
        <w:spacing w:before="0" w:lineRule="auto"/>
        <w:rPr/>
      </w:pPr>
      <w:r w:rsidDel="00000000" w:rsidR="00000000" w:rsidRPr="00000000">
        <w:rPr>
          <w:rFonts w:ascii="Aptos" w:cs="Aptos" w:eastAsia="Aptos" w:hAnsi="Aptos"/>
          <w:sz w:val="22"/>
          <w:szCs w:val="22"/>
          <w:rtl w:val="0"/>
        </w:rPr>
        <w:t xml:space="preserve">Patofysiologisk arbejdshypotese</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rFonts w:ascii="Aptos" w:cs="Aptos" w:eastAsia="Aptos" w:hAnsi="Aptos"/>
          <w:sz w:val="21"/>
          <w:szCs w:val="21"/>
          <w:rtl w:val="0"/>
        </w:rPr>
        <w:t xml:space="preserve">Vedvarende symptomer efter hjernerystelse, TBI og apopleksi kan hos en del af patientpopulationen være forbundet med persisterende neuroimmune, neurovaskulære og neuroinflammatoriske forstyrrelser. Perispinal etanercept placeres i dette dossier som en biologisk plausibel, men endnu ikke endeligt bevist, intervention med mulighed for at modulere TNF-relaterede processer, som kan bidrage til at vedligeholde symptombelastning. RNC’s interne kvalitetsdata undersøges derfor som klinisk målbare før-/efter-signaler, der kan være forenelige med denne model.</w:t>
      </w:r>
      <w:r w:rsidDel="00000000" w:rsidR="00000000" w:rsidRPr="00000000">
        <w:rPr>
          <w:rtl w:val="0"/>
        </w:rPr>
      </w:r>
    </w:p>
    <w:p w:rsidR="00000000" w:rsidDel="00000000" w:rsidP="00000000" w:rsidRDefault="00000000" w:rsidRPr="00000000" w14:paraId="00000012">
      <w:pPr>
        <w:pStyle w:val="Heading2"/>
        <w:spacing w:before="0" w:lineRule="auto"/>
        <w:rPr/>
      </w:pPr>
      <w:r w:rsidDel="00000000" w:rsidR="00000000" w:rsidRPr="00000000">
        <w:rPr>
          <w:rFonts w:ascii="Aptos" w:cs="Aptos" w:eastAsia="Aptos" w:hAnsi="Aptos"/>
          <w:sz w:val="22"/>
          <w:szCs w:val="22"/>
          <w:rtl w:val="0"/>
        </w:rPr>
        <w:t xml:space="preserve">Konvergens mellem stroke, TBI og hjernerystelse</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Aptos" w:cs="Aptos" w:eastAsia="Aptos" w:hAnsi="Aptos"/>
          <w:sz w:val="21"/>
          <w:szCs w:val="21"/>
          <w:rtl w:val="0"/>
        </w:rPr>
        <w:t xml:space="preserve">Nyere reviews og oversigtsartikler beskriver, at både TBI/hjernerystelse og iskæmisk stroke ledsages af inflammatoriske responser, hvor mikroglia, astrocytter, endotel, infiltrerende immunceller og cytokiner indgår i et dynamisk netværk. For stroke understøtter litteraturen, at post-stroke inflammation både kan medvirke til sekundær skade og til efterfølgende restitution, mens TBI-litteraturen beskriver, at inflammatoriske og gliale processer kan fortsætte ud over den akutte fase og i nogle tilfælde være forbundet med vedvarende eller sene symptomer. Denne konvergens gør neuroinflammation til en meningsfuld samlende model for et dossier, der omfatter flere hjerneskadetyper.</w:t>
      </w:r>
      <w:r w:rsidDel="00000000" w:rsidR="00000000" w:rsidRPr="00000000">
        <w:rPr>
          <w:rtl w:val="0"/>
        </w:rPr>
      </w:r>
    </w:p>
    <w:p w:rsidR="00000000" w:rsidDel="00000000" w:rsidP="00000000" w:rsidRDefault="00000000" w:rsidRPr="00000000" w14:paraId="00000014">
      <w:pPr>
        <w:pStyle w:val="Heading2"/>
        <w:spacing w:before="0" w:lineRule="auto"/>
        <w:rPr/>
      </w:pPr>
      <w:r w:rsidDel="00000000" w:rsidR="00000000" w:rsidRPr="00000000">
        <w:rPr>
          <w:rFonts w:ascii="Aptos" w:cs="Aptos" w:eastAsia="Aptos" w:hAnsi="Aptos"/>
          <w:sz w:val="22"/>
          <w:szCs w:val="22"/>
          <w:rtl w:val="0"/>
        </w:rPr>
        <w:t xml:space="preserve">TNF som nodal mediator i modellen</w:t>
      </w:r>
      <w:r w:rsidDel="00000000" w:rsidR="00000000" w:rsidRPr="00000000">
        <w:rPr>
          <w:rtl w:val="0"/>
        </w:rPr>
      </w:r>
    </w:p>
    <w:p w:rsidR="00000000" w:rsidDel="00000000" w:rsidP="00000000" w:rsidRDefault="00000000" w:rsidRPr="00000000" w14:paraId="00000015">
      <w:pPr>
        <w:spacing w:after="120" w:lineRule="auto"/>
        <w:rPr/>
      </w:pPr>
      <w:r w:rsidDel="00000000" w:rsidR="00000000" w:rsidRPr="00000000">
        <w:rPr>
          <w:rFonts w:ascii="Aptos" w:cs="Aptos" w:eastAsia="Aptos" w:hAnsi="Aptos"/>
          <w:sz w:val="21"/>
          <w:szCs w:val="21"/>
          <w:rtl w:val="0"/>
        </w:rPr>
        <w:t xml:space="preserve">TNF-α er ikke hele forklaringen på vedvarende symptomer efter hjerneskade, men TNF går igen som en central mediator i litteraturen om neuroinflammation, glial signalering, neurovaskulær dysregulation og excitotoksicitet. Reviews fra både uafhængige forskere og Tobinick-relateret litteratur peger i samme retning: TNF indgår i et netværk, hvor vedvarende cytokinaktivering kan forstærke neuronal dysfunktion og symptombelastning. Det mest forsvarlige udsagn er derfor, at TNF-aksen udgør et plausibelt interventionspunkt i et større neuroinflammatorisk system - ikke at TNF alene forklarer alle observerede symptomer eller alle behandlingseffekter.</w:t>
      </w:r>
      <w:r w:rsidDel="00000000" w:rsidR="00000000" w:rsidRPr="00000000">
        <w:rPr>
          <w:rtl w:val="0"/>
        </w:rPr>
      </w:r>
    </w:p>
    <w:p w:rsidR="00000000" w:rsidDel="00000000" w:rsidP="00000000" w:rsidRDefault="00000000" w:rsidRPr="00000000" w14:paraId="00000016">
      <w:pPr>
        <w:pStyle w:val="Heading2"/>
        <w:spacing w:before="0" w:lineRule="auto"/>
        <w:rPr/>
      </w:pPr>
      <w:r w:rsidDel="00000000" w:rsidR="00000000" w:rsidRPr="00000000">
        <w:rPr>
          <w:rFonts w:ascii="Aptos" w:cs="Aptos" w:eastAsia="Aptos" w:hAnsi="Aptos"/>
          <w:sz w:val="22"/>
          <w:szCs w:val="22"/>
          <w:rtl w:val="0"/>
        </w:rPr>
        <w:t xml:space="preserve">Hjernerystelse som fysiologisk og neuroinflammatorisk model</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ptos" w:cs="Aptos" w:eastAsia="Aptos" w:hAnsi="Aptos"/>
          <w:sz w:val="21"/>
          <w:szCs w:val="21"/>
          <w:rtl w:val="0"/>
        </w:rPr>
        <w:t xml:space="preserve">Buffalo/Leddy-litteraturen er væsentlig, fordi den viser, at persisterende commotio-symptomer i en undergruppe er forbundet med målbar autonom og cerebrovaskulær dysregulation samt exercise intolerance, snarere end alene uspecifik symptomrapportering. Clausen, Leddy og kolleger beskrev abnorm ventilation, forhøjet end-tidal CO2 og ændret cerebral blood flow velocity under belastning hos patienter med post-concussion syndrome, og senere reviews, meta-analyser, Amsterdam-konsensus og en NEJM Clinical Practice-oversigt har samlet flyttet standarden fra langvarig hvile mod aktiv, gradueret og individuelt tilpasset håndtering. Denne litteratur dokumenterer ikke effekt af PSE, men den gør hovedpine, træthed og funktionel overbelastning mere biologisk plausible som endepunkter i commotio-kohorten.</w:t>
      </w:r>
      <w:r w:rsidDel="00000000" w:rsidR="00000000" w:rsidRPr="00000000">
        <w:rPr>
          <w:rtl w:val="0"/>
        </w:rPr>
      </w:r>
    </w:p>
    <w:p w:rsidR="00000000" w:rsidDel="00000000" w:rsidP="00000000" w:rsidRDefault="00000000" w:rsidRPr="00000000" w14:paraId="00000018">
      <w:pPr>
        <w:pStyle w:val="Heading2"/>
        <w:spacing w:before="0" w:lineRule="auto"/>
        <w:rPr/>
      </w:pPr>
      <w:r w:rsidDel="00000000" w:rsidR="00000000" w:rsidRPr="00000000">
        <w:rPr>
          <w:rFonts w:ascii="Aptos" w:cs="Aptos" w:eastAsia="Aptos" w:hAnsi="Aptos"/>
          <w:sz w:val="22"/>
          <w:szCs w:val="22"/>
          <w:rtl w:val="0"/>
        </w:rPr>
        <w:t xml:space="preserve">Hvor kilderne bekræfter hinanden</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rFonts w:ascii="Aptos" w:cs="Aptos" w:eastAsia="Aptos" w:hAnsi="Aptos"/>
          <w:sz w:val="21"/>
          <w:szCs w:val="21"/>
          <w:rtl w:val="0"/>
        </w:rPr>
        <w:t xml:space="preserve">Når litteraturen læses på tværs, bekræfter flere kildespor hinanden på tre niveauer. For det første peger brede neuroinflammationsreviews ved stroke og TBI på de samme nedstrøms aktører: glia, cytokiner, BBB og neurovaskulære forandringer. For det andet styrker TNF-orienterede reviews og prækliniske studier plausibiliteten af TNF som behandlingsmål. For det tredje giver commotio-litteraturen en klinisk og fysiologisk forklaring på, hvorfor symptomnære mål som hovedpine og træthed kan være relevante, selv når brede globale mål ikke nødvendigvis ændres på kort sigt.</w:t>
      </w:r>
      <w:r w:rsidDel="00000000" w:rsidR="00000000" w:rsidRPr="00000000">
        <w:rPr>
          <w:rtl w:val="0"/>
        </w:rPr>
      </w:r>
    </w:p>
    <w:p w:rsidR="00000000" w:rsidDel="00000000" w:rsidP="00000000" w:rsidRDefault="00000000" w:rsidRPr="00000000" w14:paraId="0000001A">
      <w:pPr>
        <w:spacing w:after="160" w:before="120" w:lineRule="auto"/>
        <w:jc w:val="center"/>
        <w:rPr/>
      </w:pPr>
      <w:r w:rsidDel="00000000" w:rsidR="00000000" w:rsidRPr="00000000">
        <w:rPr/>
        <w:drawing>
          <wp:inline distB="0" distT="0" distL="0" distR="0">
            <wp:extent cx="5989320" cy="399190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89320" cy="399190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jc w:val="center"/>
        <w:rPr/>
      </w:pPr>
      <w:r w:rsidDel="00000000" w:rsidR="00000000" w:rsidRPr="00000000">
        <w:rPr>
          <w:rFonts w:ascii="Aptos" w:cs="Aptos" w:eastAsia="Aptos" w:hAnsi="Aptos"/>
          <w:i w:val="1"/>
          <w:iCs w:val="1"/>
          <w:sz w:val="17"/>
          <w:szCs w:val="17"/>
          <w:rtl w:val="0"/>
        </w:rPr>
        <w:t xml:space="preserve">Figur 1. Konceptuel illustration af en selvforstærkende neuroinflammatorisk sløjfe og TNF-α-hæmning som hypotetisk interventionspunkt. Figuren er didaktisk og anvendes som forklaringsmodel; den udgør ikke i sig selv evidens for mekanisme eller behandlingseffekt.</w:t>
      </w:r>
      <w:r w:rsidDel="00000000" w:rsidR="00000000" w:rsidRPr="00000000">
        <w:rPr>
          <w:rtl w:val="0"/>
        </w:rPr>
      </w:r>
    </w:p>
    <w:p w:rsidR="00000000" w:rsidDel="00000000" w:rsidP="00000000" w:rsidRDefault="00000000" w:rsidRPr="00000000" w14:paraId="0000001C">
      <w:pPr>
        <w:pStyle w:val="Heading2"/>
        <w:spacing w:before="0" w:lineRule="auto"/>
        <w:rPr/>
      </w:pPr>
      <w:r w:rsidDel="00000000" w:rsidR="00000000" w:rsidRPr="00000000">
        <w:rPr>
          <w:rFonts w:ascii="Aptos" w:cs="Aptos" w:eastAsia="Aptos" w:hAnsi="Aptos"/>
          <w:sz w:val="22"/>
          <w:szCs w:val="22"/>
          <w:rtl w:val="0"/>
        </w:rPr>
        <w:t xml:space="preserve">ReMind/PSE placeret i modellen</w:t>
      </w:r>
      <w:r w:rsidDel="00000000" w:rsidR="00000000" w:rsidRPr="00000000">
        <w:rPr>
          <w:rtl w:val="0"/>
        </w:rPr>
      </w:r>
    </w:p>
    <w:p w:rsidR="00000000" w:rsidDel="00000000" w:rsidP="00000000" w:rsidRDefault="00000000" w:rsidRPr="00000000" w14:paraId="0000001D">
      <w:pPr>
        <w:spacing w:after="120" w:lineRule="auto"/>
        <w:rPr/>
      </w:pPr>
      <w:r w:rsidDel="00000000" w:rsidR="00000000" w:rsidRPr="00000000">
        <w:rPr>
          <w:rFonts w:ascii="Aptos" w:cs="Aptos" w:eastAsia="Aptos" w:hAnsi="Aptos"/>
          <w:sz w:val="21"/>
          <w:szCs w:val="21"/>
          <w:rtl w:val="0"/>
        </w:rPr>
        <w:t xml:space="preserve">Perispinal administration af etanercept (PSE) er i denne struktur ikke udgangspunktet, men interventionen der placeres ind i modellen. Det styrker dossieret, fordi interventionen dermed knyttes til en specifik biologisk akse: TNF-relateret modulering i en større neuroinflammatorisk kontekst. Samtidig gør denne struktur det nødvendigt at være tydelig om afgrænsningerne. Mekanistisk plausibilitet for perispinal levering understøttes af prækliniske data, herunder microPET-sporing til choroid plexus/CSF i rotte og anatomiske beskrivelser af det cerebrospinale venøse system. Men spørgsmålet om central levering efter perispinal administration er ikke endeligt afgjort, fordi senere prækliniske data ikke fandt evidens for intracraniel levering og i stedet beskrev lokal ophobning. Den mest holdbare formulering er derfor, at distributionsvejen er biologisk plausibel, men fortsat uafklaret.</w:t>
      </w:r>
      <w:r w:rsidDel="00000000" w:rsidR="00000000" w:rsidRPr="00000000">
        <w:rPr>
          <w:rtl w:val="0"/>
        </w:rPr>
      </w:r>
    </w:p>
    <w:p w:rsidR="00000000" w:rsidDel="00000000" w:rsidP="00000000" w:rsidRDefault="00000000" w:rsidRPr="00000000" w14:paraId="0000001E">
      <w:pPr>
        <w:pStyle w:val="Heading2"/>
        <w:spacing w:before="0" w:lineRule="auto"/>
        <w:rPr/>
      </w:pPr>
      <w:r w:rsidDel="00000000" w:rsidR="00000000" w:rsidRPr="00000000">
        <w:rPr>
          <w:rFonts w:ascii="Aptos" w:cs="Aptos" w:eastAsia="Aptos" w:hAnsi="Aptos"/>
          <w:sz w:val="22"/>
          <w:szCs w:val="22"/>
          <w:rtl w:val="0"/>
        </w:rPr>
        <w:t xml:space="preserve">Formål</w:t>
      </w:r>
      <w:r w:rsidDel="00000000" w:rsidR="00000000" w:rsidRPr="00000000">
        <w:rPr>
          <w:rtl w:val="0"/>
        </w:rPr>
      </w:r>
    </w:p>
    <w:p w:rsidR="00000000" w:rsidDel="00000000" w:rsidP="00000000" w:rsidRDefault="00000000" w:rsidRPr="00000000" w14:paraId="0000001F">
      <w:pPr>
        <w:spacing w:after="120" w:lineRule="auto"/>
        <w:rPr/>
      </w:pPr>
      <w:r w:rsidDel="00000000" w:rsidR="00000000" w:rsidRPr="00000000">
        <w:rPr>
          <w:rFonts w:ascii="Aptos" w:cs="Aptos" w:eastAsia="Aptos" w:hAnsi="Aptos"/>
          <w:sz w:val="21"/>
          <w:szCs w:val="21"/>
          <w:rtl w:val="0"/>
        </w:rPr>
        <w:t xml:space="preserve">Formålet med dette manuskript er at rapportere RNC’s kliniske kvalitetsdata i en robust, tidsskriftsnær IMRaD-struktur med STROBE-rapportering og tydelig adskillelse mellem interne før-/efter-data og ekstern litteratur. Samtidig er formålet at vise, at datasættet kan læses mere meningsfuldt og mere stringent, når neuroinflammation anvendes som primær patofysiologisk arbejdshypotese, uden at der gøres mere vidtgående udsagn end data og litteratur kan bære.</w:t>
      </w:r>
      <w:r w:rsidDel="00000000" w:rsidR="00000000" w:rsidRPr="00000000">
        <w:rPr>
          <w:rtl w:val="0"/>
        </w:rPr>
      </w:r>
    </w:p>
    <w:p w:rsidR="00000000" w:rsidDel="00000000" w:rsidP="00000000" w:rsidRDefault="00000000" w:rsidRPr="00000000" w14:paraId="00000020">
      <w:pPr>
        <w:pStyle w:val="Heading1"/>
        <w:rPr/>
      </w:pPr>
      <w:r w:rsidDel="00000000" w:rsidR="00000000" w:rsidRPr="00000000">
        <w:rPr>
          <w:rtl w:val="0"/>
        </w:rPr>
        <w:t xml:space="preserve">Metoder</w:t>
      </w:r>
    </w:p>
    <w:p w:rsidR="00000000" w:rsidDel="00000000" w:rsidP="00000000" w:rsidRDefault="00000000" w:rsidRPr="00000000" w14:paraId="00000021">
      <w:pPr>
        <w:pStyle w:val="Heading2"/>
        <w:rPr/>
      </w:pPr>
      <w:r w:rsidDel="00000000" w:rsidR="00000000" w:rsidRPr="00000000">
        <w:rPr>
          <w:rtl w:val="0"/>
        </w:rPr>
        <w:t xml:space="preserve">Studiedesign og setting</w:t>
      </w:r>
    </w:p>
    <w:p w:rsidR="00000000" w:rsidDel="00000000" w:rsidP="00000000" w:rsidRDefault="00000000" w:rsidRPr="00000000" w14:paraId="00000022">
      <w:pPr>
        <w:rPr/>
      </w:pPr>
      <w:r w:rsidDel="00000000" w:rsidR="00000000" w:rsidRPr="00000000">
        <w:rPr>
          <w:rtl w:val="0"/>
        </w:rPr>
        <w:t xml:space="preserve">Dette er et klinisk kvalitetsdatasæt fra rutinebehandling ved RNC Skejby, rapporteret som før/efter-evaluering uden kontrolgruppe.</w:t>
      </w:r>
    </w:p>
    <w:p w:rsidR="00000000" w:rsidDel="00000000" w:rsidP="00000000" w:rsidRDefault="00000000" w:rsidRPr="00000000" w14:paraId="00000023">
      <w:pPr>
        <w:pStyle w:val="Heading2"/>
        <w:rPr/>
      </w:pPr>
      <w:r w:rsidDel="00000000" w:rsidR="00000000" w:rsidRPr="00000000">
        <w:rPr>
          <w:rtl w:val="0"/>
        </w:rPr>
        <w:t xml:space="preserve">Deltagere</w:t>
      </w:r>
    </w:p>
    <w:p w:rsidR="00000000" w:rsidDel="00000000" w:rsidP="00000000" w:rsidRDefault="00000000" w:rsidRPr="00000000" w14:paraId="00000024">
      <w:pPr>
        <w:rPr/>
      </w:pPr>
      <w:r w:rsidDel="00000000" w:rsidR="00000000" w:rsidRPr="00000000">
        <w:rPr>
          <w:rtl w:val="0"/>
        </w:rPr>
        <w:t xml:space="preserve">Deltagerne omfattede patienter med vedvarende symptomer efter stroke/TBI samt hjernerystelse, som gennemgik systematisk neurologisk vurdering og screening før behandling. I denne version omfatter datasættet udelukkende screenede og behandlede patienter.</w:t>
      </w:r>
    </w:p>
    <w:p w:rsidR="00000000" w:rsidDel="00000000" w:rsidP="00000000" w:rsidRDefault="00000000" w:rsidRPr="00000000" w14:paraId="00000025">
      <w:pPr>
        <w:pStyle w:val="Heading2"/>
        <w:rPr/>
      </w:pPr>
      <w:r w:rsidDel="00000000" w:rsidR="00000000" w:rsidRPr="00000000">
        <w:rPr>
          <w:rtl w:val="0"/>
        </w:rPr>
        <w:t xml:space="preserve">Off-label information og samtykke (governance/etik)</w:t>
      </w:r>
    </w:p>
    <w:p w:rsidR="00000000" w:rsidDel="00000000" w:rsidP="00000000" w:rsidRDefault="00000000" w:rsidRPr="00000000" w14:paraId="00000026">
      <w:pPr>
        <w:rPr/>
      </w:pPr>
      <w:r w:rsidDel="00000000" w:rsidR="00000000" w:rsidRPr="00000000">
        <w:rPr>
          <w:rtl w:val="0"/>
        </w:rPr>
        <w:t xml:space="preserve">Etanercept er godkendt til inflammatoriske sygdomme, men anvendes her off-label. Der foreligger specifikke informerede samtykkedokumenter til behandlingen (se Bilag D–E for skabeloner). Sekundær brug af data til forskning er ikke formålet med dette datasæt. Data er rapporteret pseudonymiseret i dette dossier (European Medicines Agency, Enbrel SmPC).</w:t>
      </w:r>
    </w:p>
    <w:p w:rsidR="00000000" w:rsidDel="00000000" w:rsidP="00000000" w:rsidRDefault="00000000" w:rsidRPr="00000000" w14:paraId="00000027">
      <w:pPr>
        <w:rPr/>
      </w:pPr>
      <w:r w:rsidDel="00000000" w:rsidR="00000000" w:rsidRPr="00000000">
        <w:rPr>
          <w:rtl w:val="0"/>
        </w:rPr>
        <w:t xml:space="preserve">Praksis for journalføring og off-label information er tilrettelagt i overensstemmelse med gældende danske rammer for journalføring og patientsikkerhed (Styrelsen for Patientsikkerhed, journalføring for læger; VEJ nr. 10238 af 01/12/2025).</w:t>
      </w:r>
    </w:p>
    <w:p w:rsidR="00000000" w:rsidDel="00000000" w:rsidP="00000000" w:rsidRDefault="00000000" w:rsidRPr="00000000" w14:paraId="00000028">
      <w:pPr>
        <w:pStyle w:val="Heading2"/>
        <w:rPr/>
      </w:pPr>
      <w:r w:rsidDel="00000000" w:rsidR="00000000" w:rsidRPr="00000000">
        <w:rPr>
          <w:rtl w:val="0"/>
        </w:rPr>
        <w:t xml:space="preserve">Behandling (ReMind / PSE)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Etanercept 25 mg perispinalt pr. behandling.</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behandlinger med 7 dages interval.</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Før behandling: 1 dag før behandling 1.</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Opfølgning: 7 dage efter behandling 2.</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Ingen samtidig aktiv rehabiliteringsintervention som del af protokollen.</w:t>
      </w:r>
    </w:p>
    <w:p w:rsidR="00000000" w:rsidDel="00000000" w:rsidP="00000000" w:rsidRDefault="00000000" w:rsidRPr="00000000" w14:paraId="0000002E">
      <w:pPr>
        <w:pStyle w:val="Heading2"/>
        <w:rPr/>
      </w:pPr>
      <w:r w:rsidDel="00000000" w:rsidR="00000000" w:rsidRPr="00000000">
        <w:rPr>
          <w:rtl w:val="0"/>
        </w:rPr>
        <w:t xml:space="preserve">Endepunkter</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Træthed målt med Modified FSS-9 (1–6).</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Hovedpine (VAS 0–10).</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Reaktionstid (Extinction-test).</w:t>
      </w:r>
    </w:p>
    <w:p w:rsidR="00000000" w:rsidDel="00000000" w:rsidP="00000000" w:rsidRDefault="00000000" w:rsidRPr="00000000" w14:paraId="00000032">
      <w:pPr>
        <w:pStyle w:val="Heading2"/>
        <w:rPr/>
      </w:pPr>
      <w:r w:rsidDel="00000000" w:rsidR="00000000" w:rsidRPr="00000000">
        <w:rPr>
          <w:rtl w:val="0"/>
        </w:rPr>
        <w:t xml:space="preserve">Målemetoder og definitioner</w:t>
      </w:r>
    </w:p>
    <w:p w:rsidR="00000000" w:rsidDel="00000000" w:rsidP="00000000" w:rsidRDefault="00000000" w:rsidRPr="00000000" w14:paraId="00000033">
      <w:pPr>
        <w:pStyle w:val="Heading3"/>
        <w:rPr/>
      </w:pPr>
      <w:r w:rsidDel="00000000" w:rsidR="00000000" w:rsidRPr="00000000">
        <w:rPr>
          <w:rtl w:val="0"/>
        </w:rPr>
        <w:t xml:space="preserve">Træthed: Modified FSS-9 (1–6)</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 udsagn; hvert udsagn scores fra 1 til 6 (højere score = større symptombyrde).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Score = gennemsnittet af de 9 items.</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Ændring = gennemsnit før behandling − gennemsnit ved opfølgning.</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Klinisk relevant forbedring = ændring ≥ 1,0 point.</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Begrundelse: Publicerede MID-estimater for den klassiske FSS (1–7) ligger typisk under 1 point; en tærskel på ≥1,0 point på den anvendte 1–6-skala er derfor valgt som en konservativ og pragmatisk responderdefinition, særligt fordi instrumentet er modificeret i dette datasæt (Rooney et al., 2019).</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Bemærkning: Skalaen anvender 1–6 point i stedet for den klassiske FSS-9 med 1–7 point.</w:t>
      </w:r>
    </w:p>
    <w:p w:rsidR="00000000" w:rsidDel="00000000" w:rsidP="00000000" w:rsidRDefault="00000000" w:rsidRPr="00000000" w14:paraId="0000003A">
      <w:pPr>
        <w:pStyle w:val="Heading3"/>
        <w:rPr/>
      </w:pPr>
      <w:r w:rsidDel="00000000" w:rsidR="00000000" w:rsidRPr="00000000">
        <w:rPr>
          <w:rtl w:val="0"/>
        </w:rPr>
        <w:t xml:space="preserve">Hovedpine: VAS (0–10)</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Ændring = score før behandling − score ved opfølgning.</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Klinisk relevant forbedring = ændring ≥ 3 point.</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Begrundelse: I smerte-litteraturen angives minimal klinisk relevant ændring på en 100 mm VAS ofte omkring 10–20 mm, svarende til cirka 1–2 point på en 0–10-skala. En tærskel på ≥3 point er derfor valgt som en konservativ responderdefinition for en tydelig og klinisk meningsfuld ændring i hovedpine (Kelly, 2001).</w:t>
      </w:r>
    </w:p>
    <w:p w:rsidR="00000000" w:rsidDel="00000000" w:rsidP="00000000" w:rsidRDefault="00000000" w:rsidRPr="00000000" w14:paraId="0000003E">
      <w:pPr>
        <w:pStyle w:val="Heading3"/>
        <w:rPr/>
      </w:pPr>
      <w:r w:rsidDel="00000000" w:rsidR="00000000" w:rsidRPr="00000000">
        <w:rPr>
          <w:rtl w:val="0"/>
        </w:rPr>
        <w:t xml:space="preserve">Reaktionstid: Extinction-test</w:t>
      </w:r>
    </w:p>
    <w:p w:rsidR="00000000" w:rsidDel="00000000" w:rsidP="00000000" w:rsidRDefault="00000000" w:rsidRPr="00000000" w14:paraId="0000003F">
      <w:pPr>
        <w:rPr/>
      </w:pPr>
      <w:r w:rsidDel="00000000" w:rsidR="00000000" w:rsidRPr="00000000">
        <w:rPr>
          <w:rtl w:val="0"/>
        </w:rPr>
        <w:t xml:space="preserve">Reaktionstid er et kvantitativt, præstationsbaseret mål (sekunder), hvor lavere tid angiver bedre præstation.</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Eksplorativ subgruppe- og regressionsanalyse: lineær regression (OLS) med robuste standardfejl (HC3) anvendes til at undersøge associationer mellem ændring i endepunkt og køn, alder, tid siden skade, score før behandling samt kohorte (hjernerystelse vs. stroke/TBI). Disse analyser er hypotesegenererende og ikke formelle interaktionstests.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Maksimalt 2 sekunder pr. forsøg; overskridelse tæller som manglende respons og scores som 2,0 sekunder.</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Primær rapportering: gennemsnitlig reaktionstid beregnet inklusive manglende respons (auditérbar metode).</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Total RT = gennemsnit af sider (højre/venstre/begge).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Normaliseret %-forbedring: (RT_før − RT_efter)/(RT_før − 0,30) × 100. Patienter med RT_før ≤ 0,30 ekskluderes fra %-analysen.</w:t>
      </w:r>
    </w:p>
    <w:p w:rsidR="00000000" w:rsidDel="00000000" w:rsidP="00000000" w:rsidRDefault="00000000" w:rsidRPr="00000000" w14:paraId="00000045">
      <w:pPr>
        <w:spacing w:after="120" w:lineRule="auto"/>
        <w:rPr/>
      </w:pPr>
      <w:r w:rsidDel="00000000" w:rsidR="00000000" w:rsidRPr="00000000">
        <w:rPr>
          <w:rtl w:val="0"/>
        </w:rPr>
        <w:t xml:space="preserve">Før behandling gennemføres klinisk vurdering og laboratorie-screening (Bilag A) samt eksklusionsscreening (Bilag B). Der blev i den observerede opfølgningsperiode søgt efter behandlingsrelaterede AE/SAE relateret til forløbene.</w:t>
      </w:r>
    </w:p>
    <w:p w:rsidR="00000000" w:rsidDel="00000000" w:rsidP="00000000" w:rsidRDefault="00000000" w:rsidRPr="00000000" w14:paraId="00000046">
      <w:pPr>
        <w:pStyle w:val="Heading2"/>
        <w:rPr/>
      </w:pPr>
      <w:r w:rsidDel="00000000" w:rsidR="00000000" w:rsidRPr="00000000">
        <w:rPr>
          <w:rtl w:val="0"/>
        </w:rPr>
        <w:t xml:space="preserve">Bias, konfondering og læringseffekt</w:t>
      </w:r>
    </w:p>
    <w:p w:rsidR="00000000" w:rsidDel="00000000" w:rsidP="00000000" w:rsidRDefault="00000000" w:rsidRPr="00000000" w14:paraId="00000047">
      <w:pPr>
        <w:rPr/>
      </w:pPr>
      <w:r w:rsidDel="00000000" w:rsidR="00000000" w:rsidRPr="00000000">
        <w:rPr>
          <w:rtl w:val="0"/>
        </w:rPr>
        <w:t xml:space="preserve">Da datasættet er baseret på et ukontrolleret før-/efter-design, kan de observerede ændringer ikke tilskrives en kausal behandlingseffekt. Regression mod middelværdi, spontan bedring, placeboeffekt og samtidige ændringer i behandling eller aktivitetsniveau kan påvirke resultaterne. Den korte opfølgningshorisont gør mulig læringseffekt særlig relevant for præstationsbaserede tests. Testen anvender randomiseret rækkefølge af stimuli, men en residual læringseffekt kan ikke udelukkes uden komparator. Disse forhold håndteres ved et nøgternt fortolkningsniveau og ved at positionere data som grundlag for efterfølgende kontrollerede studier.</w:t>
      </w:r>
    </w:p>
    <w:p w:rsidR="00000000" w:rsidDel="00000000" w:rsidP="00000000" w:rsidRDefault="00000000" w:rsidRPr="00000000" w14:paraId="00000048">
      <w:pPr>
        <w:pStyle w:val="Heading2"/>
        <w:rPr/>
      </w:pPr>
      <w:r w:rsidDel="00000000" w:rsidR="00000000" w:rsidRPr="00000000">
        <w:rPr>
          <w:rtl w:val="0"/>
        </w:rPr>
        <w:t xml:space="preserve">Statistik (SAP-light)</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Deskriptiv statistik: middelværdi (SD) samt 95 % konfidensinterval (KI) for gennemsnitlig ændring (parrede data).</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Responderandele: andele med 95 % Wilson-konfidensinterval.</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Manglende data: analyser udføres på grundlag af komplette data for det pågældende endepunkt; antal ikke-evaluerbare observationer rapporteres eksplicit (fx RT).</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Effektstørrelse: standardiseret ændring for parrede data (Cohen’s dz) angives, hvor beregningsgrundlaget er tilgængeligt; definitionen beskrives i Bilag F. De observerede effektstørrelser skal fortolkes med forsigtighed, da de er beregnet i et ukontrolleret før-/efter-design, hvor regression mod middelværdi og selektion af patienter med udtalte symptomer kan påvirke estimaterne.</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Eksplorativ subgruppe- og regressionsanalyse: lineær regression (OLS) med robuste standardfejl (HC3) anvendes til at undersøge associationer mellem ændring i endepunkt og køn, alder, tid siden skade, score før behandling samt kohorte (hjernerystelse vs. stroke/TBI).</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Stratificerede deskriptive analyser: ændring og responderandel rapporteres efter køn, aldersgrupper (&lt;30, 30–44, 45–59, ≥60 år) og skadevarighed (&lt;1, 1–&lt;3, 3–&lt;6, ≥6 år) med angivelse af N pr. stratum.</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Reaktionstid (%): regressionsanalyse udføres på evaluérbare observationer (RT_før &gt; 0,30 s). Tid siden skade beregnes som behandlingsdato minus skadesdato og indgår som kovariat i RT-regressionen i denne version.</w:t>
      </w:r>
    </w:p>
    <w:p w:rsidR="00000000" w:rsidDel="00000000" w:rsidP="00000000" w:rsidRDefault="00000000" w:rsidRPr="00000000" w14:paraId="00000050">
      <w:pPr>
        <w:pStyle w:val="Heading2"/>
        <w:rPr/>
      </w:pPr>
      <w:r w:rsidDel="00000000" w:rsidR="00000000" w:rsidRPr="00000000">
        <w:rPr>
          <w:rtl w:val="0"/>
        </w:rPr>
        <w:t xml:space="preserve">Sikkerhed (AE/SAE)</w:t>
      </w:r>
    </w:p>
    <w:p w:rsidR="00000000" w:rsidDel="00000000" w:rsidP="00000000" w:rsidRDefault="00000000" w:rsidRPr="00000000" w14:paraId="00000051">
      <w:pPr>
        <w:rPr/>
      </w:pPr>
      <w:r w:rsidDel="00000000" w:rsidR="00000000" w:rsidRPr="00000000">
        <w:rPr>
          <w:rtl w:val="0"/>
        </w:rPr>
        <w:t xml:space="preserve">Før behandling gennemføres klinisk vurdering og laboratorie-screening (Bilag A) samt eksklusionsscreening (Bilag B). Der rapporteres AE/SAE relateret til forløbene.</w:t>
      </w:r>
    </w:p>
    <w:p w:rsidR="00000000" w:rsidDel="00000000" w:rsidP="00000000" w:rsidRDefault="00000000" w:rsidRPr="00000000" w14:paraId="00000052">
      <w:pPr>
        <w:pStyle w:val="Heading1"/>
        <w:rPr/>
      </w:pPr>
      <w:r w:rsidDel="00000000" w:rsidR="00000000" w:rsidRPr="00000000">
        <w:rPr>
          <w:rtl w:val="0"/>
        </w:rPr>
        <w:t xml:space="preserve">Resultater</w:t>
      </w:r>
    </w:p>
    <w:p w:rsidR="00000000" w:rsidDel="00000000" w:rsidP="00000000" w:rsidRDefault="00000000" w:rsidRPr="00000000" w14:paraId="00000053">
      <w:pPr>
        <w:pStyle w:val="Heading2"/>
        <w:rPr/>
      </w:pPr>
      <w:r w:rsidDel="00000000" w:rsidR="00000000" w:rsidRPr="00000000">
        <w:rPr>
          <w:rtl w:val="0"/>
        </w:rPr>
        <w:t xml:space="preserve">Deltagerflow og analysetal (STROBE)</w:t>
      </w:r>
    </w:p>
    <w:tbl>
      <w:tblPr>
        <w:tblStyle w:val="Table1"/>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7"/>
        <w:gridCol w:w="2876"/>
        <w:gridCol w:w="2877"/>
        <w:tblGridChange w:id="0">
          <w:tblGrid>
            <w:gridCol w:w="2877"/>
            <w:gridCol w:w="2876"/>
            <w:gridCol w:w="2877"/>
          </w:tblGrid>
        </w:tblGridChange>
      </w:tblGrid>
      <w:tr>
        <w:trPr>
          <w:cantSplit w:val="0"/>
          <w:tblHeader w:val="1"/>
        </w:trPr>
        <w:tc>
          <w:tcPr/>
          <w:p w:rsidR="00000000" w:rsidDel="00000000" w:rsidP="00000000" w:rsidRDefault="00000000" w:rsidRPr="00000000" w14:paraId="00000054">
            <w:pPr>
              <w:rPr/>
            </w:pPr>
            <w:r w:rsidDel="00000000" w:rsidR="00000000" w:rsidRPr="00000000">
              <w:rPr>
                <w:rtl w:val="0"/>
              </w:rPr>
              <w:t xml:space="preserve">Kohorte / endepunkt</w:t>
            </w:r>
          </w:p>
        </w:tc>
        <w:tc>
          <w:tcPr/>
          <w:p w:rsidR="00000000" w:rsidDel="00000000" w:rsidP="00000000" w:rsidRDefault="00000000" w:rsidRPr="00000000" w14:paraId="00000055">
            <w:pPr>
              <w:rPr/>
            </w:pPr>
            <w:r w:rsidDel="00000000" w:rsidR="00000000" w:rsidRPr="00000000">
              <w:rPr>
                <w:rtl w:val="0"/>
              </w:rPr>
              <w:t xml:space="preserve">N (før behandling + opfølgning) i analysen</w:t>
            </w:r>
          </w:p>
        </w:tc>
        <w:tc>
          <w:tcPr/>
          <w:p w:rsidR="00000000" w:rsidDel="00000000" w:rsidP="00000000" w:rsidRDefault="00000000" w:rsidRPr="00000000" w14:paraId="00000056">
            <w:pPr>
              <w:rPr/>
            </w:pPr>
            <w:r w:rsidDel="00000000" w:rsidR="00000000" w:rsidRPr="00000000">
              <w:rPr>
                <w:rtl w:val="0"/>
              </w:rPr>
              <w:t xml:space="preserve">Kommentar</w:t>
            </w:r>
          </w:p>
        </w:tc>
      </w:tr>
      <w:tr>
        <w:trPr>
          <w:cantSplit w:val="0"/>
          <w:tblHeader w:val="0"/>
        </w:trPr>
        <w:tc>
          <w:tcPr/>
          <w:p w:rsidR="00000000" w:rsidDel="00000000" w:rsidP="00000000" w:rsidRDefault="00000000" w:rsidRPr="00000000" w14:paraId="00000057">
            <w:pPr>
              <w:rPr/>
            </w:pPr>
            <w:r w:rsidDel="00000000" w:rsidR="00000000" w:rsidRPr="00000000">
              <w:rPr>
                <w:rtl w:val="0"/>
              </w:rPr>
              <w:t xml:space="preserve">Stroke/TBI – træthed</w:t>
            </w:r>
          </w:p>
        </w:tc>
        <w:tc>
          <w:tcPr/>
          <w:p w:rsidR="00000000" w:rsidDel="00000000" w:rsidP="00000000" w:rsidRDefault="00000000" w:rsidRPr="00000000" w14:paraId="00000058">
            <w:pPr>
              <w:rPr/>
            </w:pPr>
            <w:r w:rsidDel="00000000" w:rsidR="00000000" w:rsidRPr="00000000">
              <w:rPr>
                <w:rtl w:val="0"/>
              </w:rPr>
              <w:t xml:space="preserve">48</w:t>
            </w:r>
          </w:p>
        </w:tc>
        <w:tc>
          <w:tcPr/>
          <w:p w:rsidR="00000000" w:rsidDel="00000000" w:rsidP="00000000" w:rsidRDefault="00000000" w:rsidRPr="00000000" w14:paraId="00000059">
            <w:pPr>
              <w:rPr/>
            </w:pPr>
            <w:r w:rsidDel="00000000" w:rsidR="00000000" w:rsidRPr="00000000">
              <w:rPr>
                <w:rtl w:val="0"/>
              </w:rPr>
              <w:t xml:space="preserve">Analyse af komplette data for træthed</w:t>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Hjernerystelse – træthed</w:t>
            </w:r>
          </w:p>
        </w:tc>
        <w:tc>
          <w:tcPr/>
          <w:p w:rsidR="00000000" w:rsidDel="00000000" w:rsidP="00000000" w:rsidRDefault="00000000" w:rsidRPr="00000000" w14:paraId="0000005B">
            <w:pPr>
              <w:rPr/>
            </w:pPr>
            <w:r w:rsidDel="00000000" w:rsidR="00000000" w:rsidRPr="00000000">
              <w:rPr>
                <w:rtl w:val="0"/>
              </w:rPr>
              <w:t xml:space="preserve">26</w:t>
            </w:r>
          </w:p>
        </w:tc>
        <w:tc>
          <w:tcPr/>
          <w:p w:rsidR="00000000" w:rsidDel="00000000" w:rsidP="00000000" w:rsidRDefault="00000000" w:rsidRPr="00000000" w14:paraId="0000005C">
            <w:pPr>
              <w:rPr/>
            </w:pPr>
            <w:r w:rsidDel="00000000" w:rsidR="00000000" w:rsidRPr="00000000">
              <w:rPr>
                <w:rtl w:val="0"/>
              </w:rPr>
              <w:t xml:space="preserve">Analyse af komplette data for træthed</w:t>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Hjernerystelse – hovedpine (VAS)</w:t>
            </w:r>
          </w:p>
        </w:tc>
        <w:tc>
          <w:tcPr/>
          <w:p w:rsidR="00000000" w:rsidDel="00000000" w:rsidP="00000000" w:rsidRDefault="00000000" w:rsidRPr="00000000" w14:paraId="0000005E">
            <w:pPr>
              <w:rPr/>
            </w:pPr>
            <w:r w:rsidDel="00000000" w:rsidR="00000000" w:rsidRPr="00000000">
              <w:rPr>
                <w:rtl w:val="0"/>
              </w:rPr>
              <w:t xml:space="preserve">27</w:t>
            </w:r>
          </w:p>
        </w:tc>
        <w:tc>
          <w:tcPr/>
          <w:p w:rsidR="00000000" w:rsidDel="00000000" w:rsidP="00000000" w:rsidRDefault="00000000" w:rsidRPr="00000000" w14:paraId="0000005F">
            <w:pPr>
              <w:rPr/>
            </w:pPr>
            <w:r w:rsidDel="00000000" w:rsidR="00000000" w:rsidRPr="00000000">
              <w:rPr>
                <w:rtl w:val="0"/>
              </w:rPr>
              <w:t xml:space="preserve">Analyse af komplette data for VAS</w:t>
            </w:r>
          </w:p>
        </w:tc>
      </w:tr>
      <w:tr>
        <w:trPr>
          <w:cantSplit w:val="0"/>
          <w:tblHeader w:val="0"/>
        </w:trPr>
        <w:tc>
          <w:tcPr/>
          <w:p w:rsidR="00000000" w:rsidDel="00000000" w:rsidP="00000000" w:rsidRDefault="00000000" w:rsidRPr="00000000" w14:paraId="00000060">
            <w:pPr>
              <w:rPr/>
            </w:pPr>
            <w:r w:rsidDel="00000000" w:rsidR="00000000" w:rsidRPr="00000000">
              <w:rPr>
                <w:rtl w:val="0"/>
              </w:rPr>
              <w:t xml:space="preserve">Stroke/TBI – reaktionstid (RT)</w:t>
            </w:r>
          </w:p>
        </w:tc>
        <w:tc>
          <w:tcPr/>
          <w:p w:rsidR="00000000" w:rsidDel="00000000" w:rsidP="00000000" w:rsidRDefault="00000000" w:rsidRPr="00000000" w14:paraId="00000061">
            <w:pPr>
              <w:rPr/>
            </w:pPr>
            <w:r w:rsidDel="00000000" w:rsidR="00000000" w:rsidRPr="00000000">
              <w:rPr>
                <w:rtl w:val="0"/>
              </w:rPr>
              <w:t xml:space="preserve">29</w:t>
            </w:r>
          </w:p>
        </w:tc>
        <w:tc>
          <w:tcPr/>
          <w:p w:rsidR="00000000" w:rsidDel="00000000" w:rsidP="00000000" w:rsidRDefault="00000000" w:rsidRPr="00000000" w14:paraId="00000062">
            <w:pPr>
              <w:rPr/>
            </w:pPr>
            <w:r w:rsidDel="00000000" w:rsidR="00000000" w:rsidRPr="00000000">
              <w:rPr>
                <w:rtl w:val="0"/>
              </w:rPr>
              <w:t xml:space="preserve">RT i separat datasæt; 2 ikke-evaluerbare i %-analysen</w:t>
            </w:r>
          </w:p>
        </w:tc>
      </w:tr>
      <w:tr>
        <w:trPr>
          <w:cantSplit w:val="0"/>
          <w:tblHeader w:val="0"/>
        </w:trPr>
        <w:tc>
          <w:tcPr/>
          <w:p w:rsidR="00000000" w:rsidDel="00000000" w:rsidP="00000000" w:rsidRDefault="00000000" w:rsidRPr="00000000" w14:paraId="00000063">
            <w:pPr>
              <w:rPr/>
            </w:pPr>
            <w:r w:rsidDel="00000000" w:rsidR="00000000" w:rsidRPr="00000000">
              <w:rPr>
                <w:rtl w:val="0"/>
              </w:rPr>
              <w:t xml:space="preserve">Hjernerystelse – reaktionstid (RT)</w:t>
            </w:r>
          </w:p>
        </w:tc>
        <w:tc>
          <w:tcPr/>
          <w:p w:rsidR="00000000" w:rsidDel="00000000" w:rsidP="00000000" w:rsidRDefault="00000000" w:rsidRPr="00000000" w14:paraId="00000064">
            <w:pPr>
              <w:rPr/>
            </w:pPr>
            <w:r w:rsidDel="00000000" w:rsidR="00000000" w:rsidRPr="00000000">
              <w:rPr>
                <w:rtl w:val="0"/>
              </w:rPr>
              <w:t xml:space="preserve">21</w:t>
            </w:r>
          </w:p>
        </w:tc>
        <w:tc>
          <w:tcPr/>
          <w:p w:rsidR="00000000" w:rsidDel="00000000" w:rsidP="00000000" w:rsidRDefault="00000000" w:rsidRPr="00000000" w14:paraId="00000065">
            <w:pPr>
              <w:rPr/>
            </w:pPr>
            <w:r w:rsidDel="00000000" w:rsidR="00000000" w:rsidRPr="00000000">
              <w:rPr>
                <w:rtl w:val="0"/>
              </w:rPr>
              <w:t xml:space="preserve">RT i separat datasæt; 5 ikke-evaluerbare i %-analysen</w:t>
            </w:r>
          </w:p>
        </w:tc>
      </w:tr>
      <w:tr>
        <w:trPr>
          <w:cantSplit w:val="0"/>
          <w:tblHeader w:val="0"/>
        </w:trPr>
        <w:tc>
          <w:tcPr/>
          <w:p w:rsidR="00000000" w:rsidDel="00000000" w:rsidP="00000000" w:rsidRDefault="00000000" w:rsidRPr="00000000" w14:paraId="00000066">
            <w:pPr>
              <w:rPr/>
            </w:pPr>
            <w:r w:rsidDel="00000000" w:rsidR="00000000" w:rsidRPr="00000000">
              <w:rPr>
                <w:rtl w:val="0"/>
              </w:rPr>
              <w:t xml:space="preserve">COVID-19 (RT undergruppe)</w:t>
            </w:r>
          </w:p>
        </w:tc>
        <w:tc>
          <w:tcPr/>
          <w:p w:rsidR="00000000" w:rsidDel="00000000" w:rsidP="00000000" w:rsidRDefault="00000000" w:rsidRPr="00000000" w14:paraId="00000067">
            <w:pPr>
              <w:rPr/>
            </w:pPr>
            <w:r w:rsidDel="00000000" w:rsidR="00000000" w:rsidRPr="00000000">
              <w:rPr>
                <w:rtl w:val="0"/>
              </w:rPr>
              <w:t xml:space="preserve">4</w:t>
            </w:r>
          </w:p>
        </w:tc>
        <w:tc>
          <w:tcPr/>
          <w:p w:rsidR="00000000" w:rsidDel="00000000" w:rsidP="00000000" w:rsidRDefault="00000000" w:rsidRPr="00000000" w14:paraId="00000068">
            <w:pPr>
              <w:rPr/>
            </w:pPr>
            <w:r w:rsidDel="00000000" w:rsidR="00000000" w:rsidRPr="00000000">
              <w:rPr>
                <w:rtl w:val="0"/>
              </w:rPr>
              <w:t xml:space="preserve">RT i separat datasæt</w:t>
            </w:r>
          </w:p>
        </w:tc>
      </w:tr>
      <w:tr>
        <w:trPr>
          <w:cantSplit w:val="0"/>
          <w:tblHeader w:val="0"/>
        </w:trPr>
        <w:tc>
          <w:tcPr/>
          <w:p w:rsidR="00000000" w:rsidDel="00000000" w:rsidP="00000000" w:rsidRDefault="00000000" w:rsidRPr="00000000" w14:paraId="00000069">
            <w:pPr>
              <w:rPr/>
            </w:pPr>
            <w:r w:rsidDel="00000000" w:rsidR="00000000" w:rsidRPr="00000000">
              <w:rPr>
                <w:rtl w:val="0"/>
              </w:rPr>
              <w:t xml:space="preserve">Stress (RT undergruppe)</w:t>
            </w:r>
          </w:p>
        </w:tc>
        <w:tc>
          <w:tcPr/>
          <w:p w:rsidR="00000000" w:rsidDel="00000000" w:rsidP="00000000" w:rsidRDefault="00000000" w:rsidRPr="00000000" w14:paraId="0000006A">
            <w:pPr>
              <w:rPr/>
            </w:pPr>
            <w:r w:rsidDel="00000000" w:rsidR="00000000" w:rsidRPr="00000000">
              <w:rPr>
                <w:rtl w:val="0"/>
              </w:rPr>
              <w:t xml:space="preserve">1</w:t>
            </w:r>
          </w:p>
        </w:tc>
        <w:tc>
          <w:tcPr/>
          <w:p w:rsidR="00000000" w:rsidDel="00000000" w:rsidP="00000000" w:rsidRDefault="00000000" w:rsidRPr="00000000" w14:paraId="0000006B">
            <w:pPr>
              <w:rPr/>
            </w:pPr>
            <w:r w:rsidDel="00000000" w:rsidR="00000000" w:rsidRPr="00000000">
              <w:rPr>
                <w:rtl w:val="0"/>
              </w:rPr>
              <w:t xml:space="preserve">RT i separat datasæt</w:t>
            </w:r>
          </w:p>
        </w:tc>
      </w:tr>
      <w:tr>
        <w:trPr>
          <w:cantSplit w:val="0"/>
          <w:tblHeader w:val="0"/>
        </w:trPr>
        <w:tc>
          <w:tcPr/>
          <w:p w:rsidR="00000000" w:rsidDel="00000000" w:rsidP="00000000" w:rsidRDefault="00000000" w:rsidRPr="00000000" w14:paraId="0000006C">
            <w:pPr>
              <w:rPr/>
            </w:pPr>
            <w:r w:rsidDel="00000000" w:rsidR="00000000" w:rsidRPr="00000000">
              <w:rPr>
                <w:rtl w:val="0"/>
              </w:rPr>
              <w:t xml:space="preserve">Andet (RT undergruppe)</w:t>
            </w:r>
          </w:p>
        </w:tc>
        <w:tc>
          <w:tcPr/>
          <w:p w:rsidR="00000000" w:rsidDel="00000000" w:rsidP="00000000" w:rsidRDefault="00000000" w:rsidRPr="00000000" w14:paraId="0000006D">
            <w:pPr>
              <w:rPr/>
            </w:pPr>
            <w:r w:rsidDel="00000000" w:rsidR="00000000" w:rsidRPr="00000000">
              <w:rPr>
                <w:rtl w:val="0"/>
              </w:rPr>
              <w:t xml:space="preserve">1</w:t>
            </w:r>
          </w:p>
        </w:tc>
        <w:tc>
          <w:tcPr/>
          <w:p w:rsidR="00000000" w:rsidDel="00000000" w:rsidP="00000000" w:rsidRDefault="00000000" w:rsidRPr="00000000" w14:paraId="0000006E">
            <w:pPr>
              <w:rPr/>
            </w:pPr>
            <w:r w:rsidDel="00000000" w:rsidR="00000000" w:rsidRPr="00000000">
              <w:rPr>
                <w:rtl w:val="0"/>
              </w:rPr>
              <w:t xml:space="preserve">RT i separat datasæt</w:t>
            </w:r>
          </w:p>
        </w:tc>
      </w:tr>
    </w:tbl>
    <w:p w:rsidR="00000000" w:rsidDel="00000000" w:rsidP="00000000" w:rsidRDefault="00000000" w:rsidRPr="00000000" w14:paraId="0000006F">
      <w:pPr>
        <w:pStyle w:val="Heading2"/>
        <w:rPr/>
      </w:pPr>
      <w:r w:rsidDel="00000000" w:rsidR="00000000" w:rsidRPr="00000000">
        <w:rPr>
          <w:rtl w:val="0"/>
        </w:rPr>
        <w:t xml:space="preserve">Karakteristika ved inklusion</w:t>
      </w:r>
    </w:p>
    <w:tbl>
      <w:tblPr>
        <w:tblStyle w:val="Table2"/>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877"/>
        <w:gridCol w:w="2877"/>
        <w:tblGridChange w:id="0">
          <w:tblGrid>
            <w:gridCol w:w="2876"/>
            <w:gridCol w:w="2877"/>
            <w:gridCol w:w="2877"/>
          </w:tblGrid>
        </w:tblGridChange>
      </w:tblGrid>
      <w:tr>
        <w:trPr>
          <w:cantSplit w:val="0"/>
          <w:tblHeader w:val="1"/>
        </w:trPr>
        <w:tc>
          <w:tcPr/>
          <w:p w:rsidR="00000000" w:rsidDel="00000000" w:rsidP="00000000" w:rsidRDefault="00000000" w:rsidRPr="00000000" w14:paraId="00000070">
            <w:pPr>
              <w:rPr/>
            </w:pPr>
            <w:r w:rsidDel="00000000" w:rsidR="00000000" w:rsidRPr="00000000">
              <w:rPr>
                <w:rtl w:val="0"/>
              </w:rPr>
              <w:t xml:space="preserve">Variabel</w:t>
            </w:r>
          </w:p>
        </w:tc>
        <w:tc>
          <w:tcPr/>
          <w:p w:rsidR="00000000" w:rsidDel="00000000" w:rsidP="00000000" w:rsidRDefault="00000000" w:rsidRPr="00000000" w14:paraId="00000071">
            <w:pPr>
              <w:rPr/>
            </w:pPr>
            <w:r w:rsidDel="00000000" w:rsidR="00000000" w:rsidRPr="00000000">
              <w:rPr>
                <w:rtl w:val="0"/>
              </w:rPr>
              <w:t xml:space="preserve">Stroke/TBI (træthedskohorte)</w:t>
            </w:r>
          </w:p>
        </w:tc>
        <w:tc>
          <w:tcPr/>
          <w:p w:rsidR="00000000" w:rsidDel="00000000" w:rsidP="00000000" w:rsidRDefault="00000000" w:rsidRPr="00000000" w14:paraId="00000072">
            <w:pPr>
              <w:rPr/>
            </w:pPr>
            <w:r w:rsidDel="00000000" w:rsidR="00000000" w:rsidRPr="00000000">
              <w:rPr>
                <w:rtl w:val="0"/>
              </w:rPr>
              <w:t xml:space="preserve">Hjernerystelse (træthedskohorte)</w:t>
            </w:r>
          </w:p>
        </w:tc>
      </w:tr>
      <w:tr>
        <w:trPr>
          <w:cantSplit w:val="0"/>
          <w:tblHeader w:val="0"/>
        </w:trPr>
        <w:tc>
          <w:tcPr/>
          <w:p w:rsidR="00000000" w:rsidDel="00000000" w:rsidP="00000000" w:rsidRDefault="00000000" w:rsidRPr="00000000" w14:paraId="00000073">
            <w:pPr>
              <w:rPr/>
            </w:pPr>
            <w:r w:rsidDel="00000000" w:rsidR="00000000" w:rsidRPr="00000000">
              <w:rPr>
                <w:rtl w:val="0"/>
              </w:rPr>
              <w:t xml:space="preserve">N</w:t>
            </w:r>
          </w:p>
        </w:tc>
        <w:tc>
          <w:tcPr/>
          <w:p w:rsidR="00000000" w:rsidDel="00000000" w:rsidP="00000000" w:rsidRDefault="00000000" w:rsidRPr="00000000" w14:paraId="00000074">
            <w:pPr>
              <w:rPr/>
            </w:pPr>
            <w:r w:rsidDel="00000000" w:rsidR="00000000" w:rsidRPr="00000000">
              <w:rPr>
                <w:rtl w:val="0"/>
              </w:rPr>
              <w:t xml:space="preserve">48</w:t>
            </w:r>
          </w:p>
        </w:tc>
        <w:tc>
          <w:tcPr/>
          <w:p w:rsidR="00000000" w:rsidDel="00000000" w:rsidP="00000000" w:rsidRDefault="00000000" w:rsidRPr="00000000" w14:paraId="00000075">
            <w:pPr>
              <w:rPr/>
            </w:pPr>
            <w:r w:rsidDel="00000000" w:rsidR="00000000" w:rsidRPr="00000000">
              <w:rPr>
                <w:rtl w:val="0"/>
              </w:rPr>
              <w:t xml:space="preserve">26</w:t>
            </w:r>
          </w:p>
        </w:tc>
      </w:tr>
      <w:tr>
        <w:trPr>
          <w:cantSplit w:val="0"/>
          <w:tblHeader w:val="0"/>
        </w:trPr>
        <w:tc>
          <w:tcPr/>
          <w:p w:rsidR="00000000" w:rsidDel="00000000" w:rsidP="00000000" w:rsidRDefault="00000000" w:rsidRPr="00000000" w14:paraId="00000076">
            <w:pPr>
              <w:rPr/>
            </w:pPr>
            <w:r w:rsidDel="00000000" w:rsidR="00000000" w:rsidRPr="00000000">
              <w:rPr>
                <w:rtl w:val="0"/>
              </w:rPr>
              <w:t xml:space="preserve">Alder, år (middelværdi (SD))</w:t>
            </w:r>
          </w:p>
        </w:tc>
        <w:tc>
          <w:tcPr/>
          <w:p w:rsidR="00000000" w:rsidDel="00000000" w:rsidP="00000000" w:rsidRDefault="00000000" w:rsidRPr="00000000" w14:paraId="00000077">
            <w:pPr>
              <w:rPr/>
            </w:pPr>
            <w:r w:rsidDel="00000000" w:rsidR="00000000" w:rsidRPr="00000000">
              <w:rPr>
                <w:rtl w:val="0"/>
              </w:rPr>
              <w:t xml:space="preserve">60.0 ± 15.1</w:t>
            </w:r>
          </w:p>
        </w:tc>
        <w:tc>
          <w:tcPr/>
          <w:p w:rsidR="00000000" w:rsidDel="00000000" w:rsidP="00000000" w:rsidRDefault="00000000" w:rsidRPr="00000000" w14:paraId="00000078">
            <w:pPr>
              <w:rPr/>
            </w:pPr>
            <w:r w:rsidDel="00000000" w:rsidR="00000000" w:rsidRPr="00000000">
              <w:rPr>
                <w:rtl w:val="0"/>
              </w:rPr>
              <w:t xml:space="preserve">39.7 ± 13.7</w:t>
            </w:r>
          </w:p>
        </w:tc>
      </w:tr>
      <w:tr>
        <w:trPr>
          <w:cantSplit w:val="0"/>
          <w:tblHeader w:val="0"/>
        </w:trPr>
        <w:tc>
          <w:tcPr/>
          <w:p w:rsidR="00000000" w:rsidDel="00000000" w:rsidP="00000000" w:rsidRDefault="00000000" w:rsidRPr="00000000" w14:paraId="00000079">
            <w:pPr>
              <w:rPr/>
            </w:pPr>
            <w:r w:rsidDel="00000000" w:rsidR="00000000" w:rsidRPr="00000000">
              <w:rPr>
                <w:rtl w:val="0"/>
              </w:rPr>
              <w:t xml:space="preserve">Køn (% kvinder)</w:t>
            </w:r>
          </w:p>
        </w:tc>
        <w:tc>
          <w:tcPr/>
          <w:p w:rsidR="00000000" w:rsidDel="00000000" w:rsidP="00000000" w:rsidRDefault="00000000" w:rsidRPr="00000000" w14:paraId="0000007A">
            <w:pPr>
              <w:rPr/>
            </w:pPr>
            <w:r w:rsidDel="00000000" w:rsidR="00000000" w:rsidRPr="00000000">
              <w:rPr>
                <w:rtl w:val="0"/>
              </w:rPr>
              <w:t xml:space="preserve">52.1%</w:t>
            </w:r>
          </w:p>
        </w:tc>
        <w:tc>
          <w:tcPr/>
          <w:p w:rsidR="00000000" w:rsidDel="00000000" w:rsidP="00000000" w:rsidRDefault="00000000" w:rsidRPr="00000000" w14:paraId="0000007B">
            <w:pPr>
              <w:rPr/>
            </w:pPr>
            <w:r w:rsidDel="00000000" w:rsidR="00000000" w:rsidRPr="00000000">
              <w:rPr>
                <w:rtl w:val="0"/>
              </w:rPr>
              <w:t xml:space="preserve">69.2%</w:t>
            </w:r>
          </w:p>
        </w:tc>
      </w:tr>
      <w:tr>
        <w:trPr>
          <w:cantSplit w:val="0"/>
          <w:tblHeader w:val="0"/>
        </w:trPr>
        <w:tc>
          <w:tcPr/>
          <w:p w:rsidR="00000000" w:rsidDel="00000000" w:rsidP="00000000" w:rsidRDefault="00000000" w:rsidRPr="00000000" w14:paraId="0000007C">
            <w:pPr>
              <w:rPr/>
            </w:pPr>
            <w:r w:rsidDel="00000000" w:rsidR="00000000" w:rsidRPr="00000000">
              <w:rPr>
                <w:rtl w:val="0"/>
              </w:rPr>
              <w:t xml:space="preserve">Tid siden skade til behandling, år (median [IQR])</w:t>
            </w:r>
          </w:p>
        </w:tc>
        <w:tc>
          <w:tcPr/>
          <w:p w:rsidR="00000000" w:rsidDel="00000000" w:rsidP="00000000" w:rsidRDefault="00000000" w:rsidRPr="00000000" w14:paraId="0000007D">
            <w:pPr>
              <w:rPr/>
            </w:pPr>
            <w:r w:rsidDel="00000000" w:rsidR="00000000" w:rsidRPr="00000000">
              <w:rPr>
                <w:rtl w:val="0"/>
              </w:rPr>
              <w:t xml:space="preserve">2.7 [1.6–6.2]</w:t>
            </w:r>
          </w:p>
        </w:tc>
        <w:tc>
          <w:tcPr/>
          <w:p w:rsidR="00000000" w:rsidDel="00000000" w:rsidP="00000000" w:rsidRDefault="00000000" w:rsidRPr="00000000" w14:paraId="0000007E">
            <w:pPr>
              <w:rPr/>
            </w:pPr>
            <w:r w:rsidDel="00000000" w:rsidR="00000000" w:rsidRPr="00000000">
              <w:rPr>
                <w:rtl w:val="0"/>
              </w:rPr>
              <w:t xml:space="preserve">3.2 [1.8–8.2]</w:t>
            </w:r>
          </w:p>
        </w:tc>
      </w:tr>
    </w:tbl>
    <w:p w:rsidR="00000000" w:rsidDel="00000000" w:rsidP="00000000" w:rsidRDefault="00000000" w:rsidRPr="00000000" w14:paraId="0000007F">
      <w:pPr>
        <w:pStyle w:val="Heading3"/>
        <w:rPr/>
      </w:pPr>
      <w:bookmarkStart w:colFirst="0" w:colLast="0" w:name="_tfhmv7g668iq" w:id="0"/>
      <w:bookmarkEnd w:id="0"/>
      <w:r w:rsidDel="00000000" w:rsidR="00000000" w:rsidRPr="00000000">
        <w:rPr>
          <w:rtl w:val="0"/>
        </w:rPr>
        <w:t xml:space="preserve">Resultater for endepunHovedresultater – samlet oversigt</w:t>
      </w:r>
    </w:p>
    <w:p w:rsidR="00000000" w:rsidDel="00000000" w:rsidP="00000000" w:rsidRDefault="00000000" w:rsidRPr="00000000" w14:paraId="00000080">
      <w:pPr>
        <w:pStyle w:val="Heading2"/>
        <w:rPr/>
      </w:pPr>
      <w:r w:rsidDel="00000000" w:rsidR="00000000" w:rsidRPr="00000000">
        <w:rPr>
          <w:rtl w:val="0"/>
        </w:rPr>
        <w:t xml:space="preserve">Tabel R0 sammenfatter de centrale før-/efter-resultater og responderandele. De detaljerede analyser, konfidensintervaller og regressionsresultater fremgår af de efterfølgende tabeller.</w:t>
      </w:r>
    </w:p>
    <w:p w:rsidR="00000000" w:rsidDel="00000000" w:rsidP="00000000" w:rsidRDefault="00000000" w:rsidRPr="00000000" w14:paraId="00000081">
      <w:pPr>
        <w:pStyle w:val="Heading2"/>
        <w:rPr/>
      </w:pPr>
      <w:r w:rsidDel="00000000" w:rsidR="00000000" w:rsidRPr="00000000">
        <w:rPr>
          <w:rtl w:val="0"/>
        </w:rPr>
        <w:t xml:space="preserve">Tabel R0. Samlet oversigt over hovedresultater for de kliniske endepunkter.</w:t>
      </w:r>
    </w:p>
    <w:p w:rsidR="00000000" w:rsidDel="00000000" w:rsidP="00000000" w:rsidRDefault="00000000" w:rsidRPr="00000000" w14:paraId="00000082">
      <w:pPr>
        <w:pStyle w:val="Heading2"/>
        <w:rPr/>
      </w:pPr>
      <w:r w:rsidDel="00000000" w:rsidR="00000000" w:rsidRPr="00000000">
        <w:rPr>
          <w:rtl w:val="0"/>
        </w:rPr>
      </w:r>
    </w:p>
    <w:tbl>
      <w:tblPr>
        <w:tblStyle w:val="Table3"/>
        <w:tblW w:w="8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Endepunkt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Kohorte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Responderandel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Gennemsnitlig forbedring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Før → opfølgning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Træthed (Modified FSS-9)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Stroke/TBI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77 %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41,1 %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4,11 → 2,42 (Δ 1,69)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Træthed (Modified FSS-9)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Hjernerystelse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65 %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38,9 %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4,42 → 2,70 (Δ 1,72)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Hovedpine (VAS 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Hjernerystelse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81 % (22/27)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64,5 %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7,55 → 2,68 (Δ 4,87)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Reaktionstid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Stroke/TBI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29 total / 27 evaluérbare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78 % blandt evaluérbare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29,0 %*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0,74 → 0,59 s (Δ 0,15 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Reaktionstid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Hjernerystelse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21 total / 16 evaluérbare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88 % blandt evaluérbare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57,3 %*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f81bd"/>
                <w:sz w:val="17"/>
                <w:szCs w:val="17"/>
              </w:rPr>
            </w:pPr>
            <w:r w:rsidDel="00000000" w:rsidR="00000000" w:rsidRPr="00000000">
              <w:rPr>
                <w:b w:val="1"/>
                <w:bCs w:val="1"/>
                <w:color w:val="4f81bd"/>
                <w:sz w:val="17"/>
                <w:szCs w:val="17"/>
                <w:rtl w:val="0"/>
              </w:rPr>
              <w:t xml:space="preserve">0,49 → 0,37 s (Δ 0,12 s)</w:t>
            </w:r>
          </w:p>
        </w:tc>
      </w:tr>
    </w:tbl>
    <w:p w:rsidR="00000000" w:rsidDel="00000000" w:rsidP="00000000" w:rsidRDefault="00000000" w:rsidRPr="00000000" w14:paraId="000000A7">
      <w:pPr>
        <w:pStyle w:val="Heading2"/>
        <w:rPr/>
      </w:pPr>
      <w:r w:rsidDel="00000000" w:rsidR="00000000" w:rsidRPr="00000000">
        <w:rPr>
          <w:rtl w:val="0"/>
        </w:rPr>
        <w:t xml:space="preserve">Note: For træthed og VAS er den procentvise forbedring beregnet deskriptivt ud fra de afrundede kohortegennemsnit som (før − opfølgning)/før × 100. For reaktionstid (*) anvendes dossierets prædefinerede normaliserede %-mål relativt til 0,30 s og kun blandt evaluérbare observationer. Procenttal på tværs af endepunkter er derfor ikke direkte sammenlignelige.</w:t>
      </w:r>
    </w:p>
    <w:p w:rsidR="00000000" w:rsidDel="00000000" w:rsidP="00000000" w:rsidRDefault="00000000" w:rsidRPr="00000000" w14:paraId="000000A8">
      <w:pPr>
        <w:pStyle w:val="Heading2"/>
        <w:rPr/>
      </w:pPr>
      <w:r w:rsidDel="00000000" w:rsidR="00000000" w:rsidRPr="00000000">
        <w:rPr>
          <w:rtl w:val="0"/>
        </w:rPr>
        <w:t xml:space="preserve">kter</w:t>
      </w:r>
    </w:p>
    <w:p w:rsidR="00000000" w:rsidDel="00000000" w:rsidP="00000000" w:rsidRDefault="00000000" w:rsidRPr="00000000" w14:paraId="000000A9">
      <w:pPr>
        <w:pStyle w:val="Heading3"/>
        <w:rPr/>
      </w:pPr>
      <w:r w:rsidDel="00000000" w:rsidR="00000000" w:rsidRPr="00000000">
        <w:rPr>
          <w:rtl w:val="0"/>
        </w:rPr>
        <w:t xml:space="preserve">Træthed (Modified FSS-9, 1–6)</w:t>
      </w:r>
    </w:p>
    <w:tbl>
      <w:tblPr>
        <w:tblStyle w:val="Table4"/>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7"/>
        <w:gridCol w:w="382"/>
        <w:gridCol w:w="1064"/>
        <w:gridCol w:w="1064"/>
        <w:gridCol w:w="1178"/>
        <w:gridCol w:w="587"/>
        <w:gridCol w:w="1301"/>
        <w:gridCol w:w="684"/>
        <w:gridCol w:w="1193"/>
        <w:tblGridChange w:id="0">
          <w:tblGrid>
            <w:gridCol w:w="1177"/>
            <w:gridCol w:w="382"/>
            <w:gridCol w:w="1064"/>
            <w:gridCol w:w="1064"/>
            <w:gridCol w:w="1178"/>
            <w:gridCol w:w="587"/>
            <w:gridCol w:w="1301"/>
            <w:gridCol w:w="684"/>
            <w:gridCol w:w="1193"/>
          </w:tblGrid>
        </w:tblGridChange>
      </w:tblGrid>
      <w:tr>
        <w:trPr>
          <w:cantSplit w:val="0"/>
          <w:tblHeader w:val="1"/>
        </w:trPr>
        <w:tc>
          <w:tcPr/>
          <w:p w:rsidR="00000000" w:rsidDel="00000000" w:rsidP="00000000" w:rsidRDefault="00000000" w:rsidRPr="00000000" w14:paraId="000000AA">
            <w:pPr>
              <w:rPr/>
            </w:pPr>
            <w:r w:rsidDel="00000000" w:rsidR="00000000" w:rsidRPr="00000000">
              <w:rPr>
                <w:rtl w:val="0"/>
              </w:rPr>
              <w:t xml:space="preserve">Kohorte</w:t>
            </w:r>
          </w:p>
        </w:tc>
        <w:tc>
          <w:tcPr/>
          <w:p w:rsidR="00000000" w:rsidDel="00000000" w:rsidP="00000000" w:rsidRDefault="00000000" w:rsidRPr="00000000" w14:paraId="000000AB">
            <w:pPr>
              <w:rPr/>
            </w:pPr>
            <w:r w:rsidDel="00000000" w:rsidR="00000000" w:rsidRPr="00000000">
              <w:rPr>
                <w:rtl w:val="0"/>
              </w:rPr>
              <w:t xml:space="preserve">N</w:t>
            </w:r>
          </w:p>
        </w:tc>
        <w:tc>
          <w:tcPr/>
          <w:p w:rsidR="00000000" w:rsidDel="00000000" w:rsidP="00000000" w:rsidRDefault="00000000" w:rsidRPr="00000000" w14:paraId="000000AC">
            <w:pPr>
              <w:rPr/>
            </w:pPr>
            <w:r w:rsidDel="00000000" w:rsidR="00000000" w:rsidRPr="00000000">
              <w:rPr>
                <w:rtl w:val="0"/>
              </w:rPr>
              <w:t xml:space="preserve">Middelværdi før behandling (1–6)</w:t>
            </w:r>
          </w:p>
        </w:tc>
        <w:tc>
          <w:tcPr/>
          <w:p w:rsidR="00000000" w:rsidDel="00000000" w:rsidP="00000000" w:rsidRDefault="00000000" w:rsidRPr="00000000" w14:paraId="000000AD">
            <w:pPr>
              <w:rPr/>
            </w:pPr>
            <w:r w:rsidDel="00000000" w:rsidR="00000000" w:rsidRPr="00000000">
              <w:rPr>
                <w:rtl w:val="0"/>
              </w:rPr>
              <w:t xml:space="preserve">Middelværdi ved opfølgning (1–6)</w:t>
            </w:r>
          </w:p>
        </w:tc>
        <w:tc>
          <w:tcPr/>
          <w:p w:rsidR="00000000" w:rsidDel="00000000" w:rsidP="00000000" w:rsidRDefault="00000000" w:rsidRPr="00000000" w14:paraId="000000AE">
            <w:pPr>
              <w:rPr/>
            </w:pPr>
            <w:r w:rsidDel="00000000" w:rsidR="00000000" w:rsidRPr="00000000">
              <w:rPr>
                <w:rtl w:val="0"/>
              </w:rPr>
              <w:t xml:space="preserve">Gennemsnitlig ændring (Δ)</w:t>
            </w:r>
          </w:p>
        </w:tc>
        <w:tc>
          <w:tcPr/>
          <w:p w:rsidR="00000000" w:rsidDel="00000000" w:rsidP="00000000" w:rsidRDefault="00000000" w:rsidRPr="00000000" w14:paraId="000000AF">
            <w:pPr>
              <w:rPr/>
            </w:pPr>
            <w:r w:rsidDel="00000000" w:rsidR="00000000" w:rsidRPr="00000000">
              <w:rPr>
                <w:rtl w:val="0"/>
              </w:rPr>
              <w:t xml:space="preserve">95 % KI (Δ)</w:t>
            </w:r>
          </w:p>
        </w:tc>
        <w:tc>
          <w:tcPr/>
          <w:p w:rsidR="00000000" w:rsidDel="00000000" w:rsidP="00000000" w:rsidRDefault="00000000" w:rsidRPr="00000000" w14:paraId="000000B0">
            <w:pPr>
              <w:rPr/>
            </w:pPr>
            <w:r w:rsidDel="00000000" w:rsidR="00000000" w:rsidRPr="00000000">
              <w:rPr>
                <w:rtl w:val="0"/>
              </w:rPr>
              <w:t xml:space="preserve">Responderandel</w:t>
            </w:r>
          </w:p>
        </w:tc>
        <w:tc>
          <w:tcPr/>
          <w:p w:rsidR="00000000" w:rsidDel="00000000" w:rsidP="00000000" w:rsidRDefault="00000000" w:rsidRPr="00000000" w14:paraId="000000B1">
            <w:pPr>
              <w:rPr/>
            </w:pPr>
            <w:r w:rsidDel="00000000" w:rsidR="00000000" w:rsidRPr="00000000">
              <w:rPr>
                <w:rtl w:val="0"/>
              </w:rPr>
              <w:t xml:space="preserve">95 % KI (andel)</w:t>
            </w:r>
          </w:p>
        </w:tc>
        <w:tc>
          <w:tcPr/>
          <w:p w:rsidR="00000000" w:rsidDel="00000000" w:rsidP="00000000" w:rsidRDefault="00000000" w:rsidRPr="00000000" w14:paraId="000000B2">
            <w:pPr>
              <w:rPr/>
            </w:pPr>
            <w:r w:rsidDel="00000000" w:rsidR="00000000" w:rsidRPr="00000000">
              <w:rPr>
                <w:rtl w:val="0"/>
              </w:rPr>
              <w:t xml:space="preserve">Standardiseret ændring (d)</w:t>
            </w:r>
          </w:p>
        </w:tc>
      </w:tr>
      <w:tr>
        <w:trPr>
          <w:cantSplit w:val="0"/>
          <w:tblHeader w:val="0"/>
        </w:trPr>
        <w:tc>
          <w:tcPr/>
          <w:p w:rsidR="00000000" w:rsidDel="00000000" w:rsidP="00000000" w:rsidRDefault="00000000" w:rsidRPr="00000000" w14:paraId="000000B3">
            <w:pPr>
              <w:rPr/>
            </w:pPr>
            <w:r w:rsidDel="00000000" w:rsidR="00000000" w:rsidRPr="00000000">
              <w:rPr>
                <w:rtl w:val="0"/>
              </w:rPr>
              <w:t xml:space="preserve">Stroke/TBI</w:t>
            </w:r>
          </w:p>
        </w:tc>
        <w:tc>
          <w:tcPr/>
          <w:p w:rsidR="00000000" w:rsidDel="00000000" w:rsidP="00000000" w:rsidRDefault="00000000" w:rsidRPr="00000000" w14:paraId="000000B4">
            <w:pPr>
              <w:rPr/>
            </w:pPr>
            <w:r w:rsidDel="00000000" w:rsidR="00000000" w:rsidRPr="00000000">
              <w:rPr>
                <w:rtl w:val="0"/>
              </w:rPr>
              <w:t xml:space="preserve">48</w:t>
            </w:r>
          </w:p>
        </w:tc>
        <w:tc>
          <w:tcPr/>
          <w:p w:rsidR="00000000" w:rsidDel="00000000" w:rsidP="00000000" w:rsidRDefault="00000000" w:rsidRPr="00000000" w14:paraId="000000B5">
            <w:pPr>
              <w:rPr/>
            </w:pPr>
            <w:r w:rsidDel="00000000" w:rsidR="00000000" w:rsidRPr="00000000">
              <w:rPr>
                <w:rtl w:val="0"/>
              </w:rPr>
              <w:t xml:space="preserve">4.11</w:t>
            </w:r>
          </w:p>
        </w:tc>
        <w:tc>
          <w:tcPr/>
          <w:p w:rsidR="00000000" w:rsidDel="00000000" w:rsidP="00000000" w:rsidRDefault="00000000" w:rsidRPr="00000000" w14:paraId="000000B6">
            <w:pPr>
              <w:rPr/>
            </w:pPr>
            <w:r w:rsidDel="00000000" w:rsidR="00000000" w:rsidRPr="00000000">
              <w:rPr>
                <w:rtl w:val="0"/>
              </w:rPr>
              <w:t xml:space="preserve">2.42</w:t>
            </w:r>
          </w:p>
        </w:tc>
        <w:tc>
          <w:tcPr/>
          <w:p w:rsidR="00000000" w:rsidDel="00000000" w:rsidP="00000000" w:rsidRDefault="00000000" w:rsidRPr="00000000" w14:paraId="000000B7">
            <w:pPr>
              <w:rPr/>
            </w:pPr>
            <w:r w:rsidDel="00000000" w:rsidR="00000000" w:rsidRPr="00000000">
              <w:rPr>
                <w:rtl w:val="0"/>
              </w:rPr>
              <w:t xml:space="preserve">1.69</w:t>
            </w:r>
          </w:p>
        </w:tc>
        <w:tc>
          <w:tcPr/>
          <w:p w:rsidR="00000000" w:rsidDel="00000000" w:rsidP="00000000" w:rsidRDefault="00000000" w:rsidRPr="00000000" w14:paraId="000000B8">
            <w:pPr>
              <w:rPr/>
            </w:pPr>
            <w:r w:rsidDel="00000000" w:rsidR="00000000" w:rsidRPr="00000000">
              <w:rPr>
                <w:rtl w:val="0"/>
              </w:rPr>
              <w:t xml:space="preserve">1.47–1.92</w:t>
            </w:r>
          </w:p>
        </w:tc>
        <w:tc>
          <w:tcPr/>
          <w:p w:rsidR="00000000" w:rsidDel="00000000" w:rsidP="00000000" w:rsidRDefault="00000000" w:rsidRPr="00000000" w14:paraId="000000B9">
            <w:pPr>
              <w:rPr/>
            </w:pPr>
            <w:r w:rsidDel="00000000" w:rsidR="00000000" w:rsidRPr="00000000">
              <w:rPr>
                <w:rtl w:val="0"/>
              </w:rPr>
              <w:t xml:space="preserve">77%</w:t>
            </w:r>
          </w:p>
        </w:tc>
        <w:tc>
          <w:tcPr/>
          <w:p w:rsidR="00000000" w:rsidDel="00000000" w:rsidP="00000000" w:rsidRDefault="00000000" w:rsidRPr="00000000" w14:paraId="000000BA">
            <w:pPr>
              <w:rPr/>
            </w:pPr>
            <w:r w:rsidDel="00000000" w:rsidR="00000000" w:rsidRPr="00000000">
              <w:rPr>
                <w:rtl w:val="0"/>
              </w:rPr>
              <w:t xml:space="preserve">63%–87%</w:t>
            </w:r>
          </w:p>
        </w:tc>
        <w:tc>
          <w:tcPr/>
          <w:p w:rsidR="00000000" w:rsidDel="00000000" w:rsidP="00000000" w:rsidRDefault="00000000" w:rsidRPr="00000000" w14:paraId="000000BB">
            <w:pPr>
              <w:rPr/>
            </w:pPr>
            <w:r w:rsidDel="00000000" w:rsidR="00000000" w:rsidRPr="00000000">
              <w:rPr>
                <w:rtl w:val="0"/>
              </w:rPr>
              <w:t xml:space="preserve">2.18</w:t>
            </w:r>
          </w:p>
        </w:tc>
      </w:tr>
      <w:tr>
        <w:trPr>
          <w:cantSplit w:val="0"/>
          <w:tblHeader w:val="0"/>
        </w:trPr>
        <w:tc>
          <w:tcPr/>
          <w:p w:rsidR="00000000" w:rsidDel="00000000" w:rsidP="00000000" w:rsidRDefault="00000000" w:rsidRPr="00000000" w14:paraId="000000BC">
            <w:pPr>
              <w:rPr/>
            </w:pPr>
            <w:r w:rsidDel="00000000" w:rsidR="00000000" w:rsidRPr="00000000">
              <w:rPr>
                <w:rtl w:val="0"/>
              </w:rPr>
              <w:t xml:space="preserve">Hjernerystelse</w:t>
            </w:r>
          </w:p>
        </w:tc>
        <w:tc>
          <w:tcPr/>
          <w:p w:rsidR="00000000" w:rsidDel="00000000" w:rsidP="00000000" w:rsidRDefault="00000000" w:rsidRPr="00000000" w14:paraId="000000BD">
            <w:pPr>
              <w:rPr/>
            </w:pPr>
            <w:r w:rsidDel="00000000" w:rsidR="00000000" w:rsidRPr="00000000">
              <w:rPr>
                <w:rtl w:val="0"/>
              </w:rPr>
              <w:t xml:space="preserve">26</w:t>
            </w:r>
          </w:p>
        </w:tc>
        <w:tc>
          <w:tcPr/>
          <w:p w:rsidR="00000000" w:rsidDel="00000000" w:rsidP="00000000" w:rsidRDefault="00000000" w:rsidRPr="00000000" w14:paraId="000000BE">
            <w:pPr>
              <w:rPr/>
            </w:pPr>
            <w:r w:rsidDel="00000000" w:rsidR="00000000" w:rsidRPr="00000000">
              <w:rPr>
                <w:rtl w:val="0"/>
              </w:rPr>
              <w:t xml:space="preserve">4.42</w:t>
            </w:r>
          </w:p>
        </w:tc>
        <w:tc>
          <w:tcPr/>
          <w:p w:rsidR="00000000" w:rsidDel="00000000" w:rsidP="00000000" w:rsidRDefault="00000000" w:rsidRPr="00000000" w14:paraId="000000BF">
            <w:pPr>
              <w:rPr/>
            </w:pPr>
            <w:r w:rsidDel="00000000" w:rsidR="00000000" w:rsidRPr="00000000">
              <w:rPr>
                <w:rtl w:val="0"/>
              </w:rPr>
              <w:t xml:space="preserve">2.70</w:t>
            </w:r>
          </w:p>
        </w:tc>
        <w:tc>
          <w:tcPr/>
          <w:p w:rsidR="00000000" w:rsidDel="00000000" w:rsidP="00000000" w:rsidRDefault="00000000" w:rsidRPr="00000000" w14:paraId="000000C0">
            <w:pPr>
              <w:rPr/>
            </w:pPr>
            <w:r w:rsidDel="00000000" w:rsidR="00000000" w:rsidRPr="00000000">
              <w:rPr>
                <w:rtl w:val="0"/>
              </w:rPr>
              <w:t xml:space="preserve">1.72</w:t>
            </w:r>
          </w:p>
        </w:tc>
        <w:tc>
          <w:tcPr/>
          <w:p w:rsidR="00000000" w:rsidDel="00000000" w:rsidP="00000000" w:rsidRDefault="00000000" w:rsidRPr="00000000" w14:paraId="000000C1">
            <w:pPr>
              <w:rPr/>
            </w:pPr>
            <w:r w:rsidDel="00000000" w:rsidR="00000000" w:rsidRPr="00000000">
              <w:rPr>
                <w:rtl w:val="0"/>
              </w:rPr>
              <w:t xml:space="preserve">1.28–2.17</w:t>
            </w:r>
          </w:p>
        </w:tc>
        <w:tc>
          <w:tcPr/>
          <w:p w:rsidR="00000000" w:rsidDel="00000000" w:rsidP="00000000" w:rsidRDefault="00000000" w:rsidRPr="00000000" w14:paraId="000000C2">
            <w:pPr>
              <w:rPr/>
            </w:pPr>
            <w:r w:rsidDel="00000000" w:rsidR="00000000" w:rsidRPr="00000000">
              <w:rPr>
                <w:rtl w:val="0"/>
              </w:rPr>
              <w:t xml:space="preserve">65%</w:t>
            </w:r>
          </w:p>
        </w:tc>
        <w:tc>
          <w:tcPr/>
          <w:p w:rsidR="00000000" w:rsidDel="00000000" w:rsidP="00000000" w:rsidRDefault="00000000" w:rsidRPr="00000000" w14:paraId="000000C3">
            <w:pPr>
              <w:rPr/>
            </w:pPr>
            <w:r w:rsidDel="00000000" w:rsidR="00000000" w:rsidRPr="00000000">
              <w:rPr>
                <w:rtl w:val="0"/>
              </w:rPr>
              <w:t xml:space="preserve">46%–81%</w:t>
            </w:r>
          </w:p>
        </w:tc>
        <w:tc>
          <w:tcPr/>
          <w:p w:rsidR="00000000" w:rsidDel="00000000" w:rsidP="00000000" w:rsidRDefault="00000000" w:rsidRPr="00000000" w14:paraId="000000C4">
            <w:pPr>
              <w:rPr/>
            </w:pPr>
            <w:r w:rsidDel="00000000" w:rsidR="00000000" w:rsidRPr="00000000">
              <w:rPr>
                <w:rtl w:val="0"/>
              </w:rPr>
              <w:t xml:space="preserve">1.55</w:t>
            </w:r>
          </w:p>
        </w:tc>
      </w:tr>
    </w:tbl>
    <w:p w:rsidR="00000000" w:rsidDel="00000000" w:rsidP="00000000" w:rsidRDefault="00000000" w:rsidRPr="00000000" w14:paraId="000000C5">
      <w:pPr>
        <w:pStyle w:val="Heading3"/>
        <w:rPr/>
      </w:pPr>
      <w:r w:rsidDel="00000000" w:rsidR="00000000" w:rsidRPr="00000000">
        <w:rPr>
          <w:rtl w:val="0"/>
        </w:rPr>
      </w:r>
    </w:p>
    <w:p w:rsidR="00000000" w:rsidDel="00000000" w:rsidP="00000000" w:rsidRDefault="00000000" w:rsidRPr="00000000" w14:paraId="000000C6">
      <w:pPr>
        <w:pStyle w:val="Heading3"/>
        <w:rPr/>
      </w:pPr>
      <w:r w:rsidDel="00000000" w:rsidR="00000000" w:rsidRPr="00000000">
        <w:rPr>
          <w:rtl w:val="0"/>
        </w:rPr>
        <w:t xml:space="preserve">Hovedpine (VAS 0–10)</w:t>
      </w:r>
    </w:p>
    <w:tbl>
      <w:tblPr>
        <w:tblStyle w:val="Table5"/>
        <w:tblW w:w="862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5"/>
        <w:gridCol w:w="361"/>
        <w:gridCol w:w="957"/>
        <w:gridCol w:w="957"/>
        <w:gridCol w:w="1056"/>
        <w:gridCol w:w="788"/>
        <w:gridCol w:w="1164"/>
        <w:gridCol w:w="1223"/>
        <w:gridCol w:w="1069"/>
        <w:tblGridChange w:id="0">
          <w:tblGrid>
            <w:gridCol w:w="1055"/>
            <w:gridCol w:w="361"/>
            <w:gridCol w:w="957"/>
            <w:gridCol w:w="957"/>
            <w:gridCol w:w="1056"/>
            <w:gridCol w:w="788"/>
            <w:gridCol w:w="1164"/>
            <w:gridCol w:w="1223"/>
            <w:gridCol w:w="1069"/>
          </w:tblGrid>
        </w:tblGridChange>
      </w:tblGrid>
      <w:tr>
        <w:trPr>
          <w:cantSplit w:val="0"/>
          <w:tblHeader w:val="1"/>
        </w:trPr>
        <w:tc>
          <w:tcPr/>
          <w:p w:rsidR="00000000" w:rsidDel="00000000" w:rsidP="00000000" w:rsidRDefault="00000000" w:rsidRPr="00000000" w14:paraId="000000C7">
            <w:pPr>
              <w:rPr/>
            </w:pPr>
            <w:r w:rsidDel="00000000" w:rsidR="00000000" w:rsidRPr="00000000">
              <w:rPr>
                <w:rtl w:val="0"/>
              </w:rPr>
              <w:t xml:space="preserve">Population</w:t>
            </w:r>
          </w:p>
        </w:tc>
        <w:tc>
          <w:tcPr/>
          <w:p w:rsidR="00000000" w:rsidDel="00000000" w:rsidP="00000000" w:rsidRDefault="00000000" w:rsidRPr="00000000" w14:paraId="000000C8">
            <w:pPr>
              <w:rPr/>
            </w:pPr>
            <w:r w:rsidDel="00000000" w:rsidR="00000000" w:rsidRPr="00000000">
              <w:rPr>
                <w:rtl w:val="0"/>
              </w:rPr>
              <w:t xml:space="preserve">N</w:t>
            </w:r>
          </w:p>
        </w:tc>
        <w:tc>
          <w:tcPr/>
          <w:p w:rsidR="00000000" w:rsidDel="00000000" w:rsidP="00000000" w:rsidRDefault="00000000" w:rsidRPr="00000000" w14:paraId="000000C9">
            <w:pPr>
              <w:rPr/>
            </w:pPr>
            <w:r w:rsidDel="00000000" w:rsidR="00000000" w:rsidRPr="00000000">
              <w:rPr>
                <w:rtl w:val="0"/>
              </w:rPr>
              <w:t xml:space="preserve">Middelværdi før behandling (0–10)</w:t>
            </w:r>
          </w:p>
        </w:tc>
        <w:tc>
          <w:tcPr/>
          <w:p w:rsidR="00000000" w:rsidDel="00000000" w:rsidP="00000000" w:rsidRDefault="00000000" w:rsidRPr="00000000" w14:paraId="000000CA">
            <w:pPr>
              <w:rPr/>
            </w:pPr>
            <w:r w:rsidDel="00000000" w:rsidR="00000000" w:rsidRPr="00000000">
              <w:rPr>
                <w:rtl w:val="0"/>
              </w:rPr>
              <w:t xml:space="preserve">Middelværdi ved opfølgning (0–10)</w:t>
            </w:r>
          </w:p>
        </w:tc>
        <w:tc>
          <w:tcPr/>
          <w:p w:rsidR="00000000" w:rsidDel="00000000" w:rsidP="00000000" w:rsidRDefault="00000000" w:rsidRPr="00000000" w14:paraId="000000CB">
            <w:pPr>
              <w:rPr/>
            </w:pPr>
            <w:r w:rsidDel="00000000" w:rsidR="00000000" w:rsidRPr="00000000">
              <w:rPr>
                <w:rtl w:val="0"/>
              </w:rPr>
              <w:t xml:space="preserve">Gennemsnitlig ændring</w:t>
            </w:r>
          </w:p>
        </w:tc>
        <w:tc>
          <w:tcPr/>
          <w:p w:rsidR="00000000" w:rsidDel="00000000" w:rsidP="00000000" w:rsidRDefault="00000000" w:rsidRPr="00000000" w14:paraId="000000CC">
            <w:pPr>
              <w:rPr/>
            </w:pPr>
            <w:r w:rsidDel="00000000" w:rsidR="00000000" w:rsidRPr="00000000">
              <w:rPr>
                <w:rtl w:val="0"/>
              </w:rPr>
              <w:t xml:space="preserve">95 % KI (ændring)</w:t>
            </w:r>
          </w:p>
        </w:tc>
        <w:tc>
          <w:tcPr/>
          <w:p w:rsidR="00000000" w:rsidDel="00000000" w:rsidP="00000000" w:rsidRDefault="00000000" w:rsidRPr="00000000" w14:paraId="000000CD">
            <w:pPr>
              <w:rPr/>
            </w:pPr>
            <w:r w:rsidDel="00000000" w:rsidR="00000000" w:rsidRPr="00000000">
              <w:rPr>
                <w:rtl w:val="0"/>
              </w:rPr>
              <w:t xml:space="preserve">Responderandel (≥3)</w:t>
            </w:r>
          </w:p>
        </w:tc>
        <w:tc>
          <w:tcPr/>
          <w:p w:rsidR="00000000" w:rsidDel="00000000" w:rsidP="00000000" w:rsidRDefault="00000000" w:rsidRPr="00000000" w14:paraId="000000CE">
            <w:pPr>
              <w:rPr/>
            </w:pPr>
            <w:r w:rsidDel="00000000" w:rsidR="00000000" w:rsidRPr="00000000">
              <w:rPr>
                <w:rtl w:val="0"/>
              </w:rPr>
              <w:t xml:space="preserve">95 % KI (responderandel)</w:t>
            </w:r>
          </w:p>
        </w:tc>
        <w:tc>
          <w:tcPr/>
          <w:p w:rsidR="00000000" w:rsidDel="00000000" w:rsidP="00000000" w:rsidRDefault="00000000" w:rsidRPr="00000000" w14:paraId="000000CF">
            <w:pPr>
              <w:rPr/>
            </w:pPr>
            <w:r w:rsidDel="00000000" w:rsidR="00000000" w:rsidRPr="00000000">
              <w:rPr>
                <w:rtl w:val="0"/>
              </w:rPr>
              <w:t xml:space="preserve">Standardiseret ændring (d)</w:t>
            </w:r>
          </w:p>
        </w:tc>
      </w:tr>
      <w:tr>
        <w:trPr>
          <w:cantSplit w:val="0"/>
          <w:tblHeader w:val="0"/>
        </w:trPr>
        <w:tc>
          <w:tcPr/>
          <w:p w:rsidR="00000000" w:rsidDel="00000000" w:rsidP="00000000" w:rsidRDefault="00000000" w:rsidRPr="00000000" w14:paraId="000000D0">
            <w:pPr>
              <w:rPr/>
            </w:pPr>
            <w:r w:rsidDel="00000000" w:rsidR="00000000" w:rsidRPr="00000000">
              <w:rPr>
                <w:rtl w:val="0"/>
              </w:rPr>
              <w:t xml:space="preserve">Hjernerystelse</w:t>
            </w:r>
          </w:p>
        </w:tc>
        <w:tc>
          <w:tcPr/>
          <w:p w:rsidR="00000000" w:rsidDel="00000000" w:rsidP="00000000" w:rsidRDefault="00000000" w:rsidRPr="00000000" w14:paraId="000000D1">
            <w:pPr>
              <w:rPr/>
            </w:pPr>
            <w:r w:rsidDel="00000000" w:rsidR="00000000" w:rsidRPr="00000000">
              <w:rPr>
                <w:rtl w:val="0"/>
              </w:rPr>
              <w:t xml:space="preserve">27</w:t>
            </w:r>
          </w:p>
        </w:tc>
        <w:tc>
          <w:tcPr/>
          <w:p w:rsidR="00000000" w:rsidDel="00000000" w:rsidP="00000000" w:rsidRDefault="00000000" w:rsidRPr="00000000" w14:paraId="000000D2">
            <w:pPr>
              <w:rPr/>
            </w:pPr>
            <w:r w:rsidDel="00000000" w:rsidR="00000000" w:rsidRPr="00000000">
              <w:rPr>
                <w:rtl w:val="0"/>
              </w:rPr>
              <w:t xml:space="preserve">7.55</w:t>
            </w:r>
          </w:p>
        </w:tc>
        <w:tc>
          <w:tcPr/>
          <w:p w:rsidR="00000000" w:rsidDel="00000000" w:rsidP="00000000" w:rsidRDefault="00000000" w:rsidRPr="00000000" w14:paraId="000000D3">
            <w:pPr>
              <w:rPr/>
            </w:pPr>
            <w:r w:rsidDel="00000000" w:rsidR="00000000" w:rsidRPr="00000000">
              <w:rPr>
                <w:rtl w:val="0"/>
              </w:rPr>
              <w:t xml:space="preserve">2.68</w:t>
            </w:r>
          </w:p>
        </w:tc>
        <w:tc>
          <w:tcPr/>
          <w:p w:rsidR="00000000" w:rsidDel="00000000" w:rsidP="00000000" w:rsidRDefault="00000000" w:rsidRPr="00000000" w14:paraId="000000D4">
            <w:pPr>
              <w:rPr/>
            </w:pPr>
            <w:r w:rsidDel="00000000" w:rsidR="00000000" w:rsidRPr="00000000">
              <w:rPr>
                <w:rtl w:val="0"/>
              </w:rPr>
              <w:t xml:space="preserve">4.87</w:t>
            </w:r>
          </w:p>
        </w:tc>
        <w:tc>
          <w:tcPr/>
          <w:p w:rsidR="00000000" w:rsidDel="00000000" w:rsidP="00000000" w:rsidRDefault="00000000" w:rsidRPr="00000000" w14:paraId="000000D5">
            <w:pPr>
              <w:rPr/>
            </w:pPr>
            <w:r w:rsidDel="00000000" w:rsidR="00000000" w:rsidRPr="00000000">
              <w:rPr>
                <w:rtl w:val="0"/>
              </w:rPr>
              <w:t xml:space="preserve">[3.78; 5.97]</w:t>
            </w:r>
          </w:p>
        </w:tc>
        <w:tc>
          <w:tcPr/>
          <w:p w:rsidR="00000000" w:rsidDel="00000000" w:rsidP="00000000" w:rsidRDefault="00000000" w:rsidRPr="00000000" w14:paraId="000000D6">
            <w:pPr>
              <w:rPr/>
            </w:pPr>
            <w:r w:rsidDel="00000000" w:rsidR="00000000" w:rsidRPr="00000000">
              <w:rPr>
                <w:rtl w:val="0"/>
              </w:rPr>
              <w:t xml:space="preserve">81% (22/27)</w:t>
            </w:r>
          </w:p>
        </w:tc>
        <w:tc>
          <w:tcPr/>
          <w:p w:rsidR="00000000" w:rsidDel="00000000" w:rsidP="00000000" w:rsidRDefault="00000000" w:rsidRPr="00000000" w14:paraId="000000D7">
            <w:pPr>
              <w:rPr/>
            </w:pPr>
            <w:r w:rsidDel="00000000" w:rsidR="00000000" w:rsidRPr="00000000">
              <w:rPr>
                <w:rtl w:val="0"/>
              </w:rPr>
              <w:t xml:space="preserve">[63%; 92%]</w:t>
            </w:r>
          </w:p>
        </w:tc>
        <w:tc>
          <w:tcPr/>
          <w:p w:rsidR="00000000" w:rsidDel="00000000" w:rsidP="00000000" w:rsidRDefault="00000000" w:rsidRPr="00000000" w14:paraId="000000D8">
            <w:pPr>
              <w:rPr/>
            </w:pPr>
            <w:r w:rsidDel="00000000" w:rsidR="00000000" w:rsidRPr="00000000">
              <w:rPr>
                <w:rtl w:val="0"/>
              </w:rPr>
              <w:t xml:space="preserve">1.76</w:t>
            </w:r>
          </w:p>
        </w:tc>
      </w:tr>
    </w:tbl>
    <w:p w:rsidR="00000000" w:rsidDel="00000000" w:rsidP="00000000" w:rsidRDefault="00000000" w:rsidRPr="00000000" w14:paraId="000000D9">
      <w:pPr>
        <w:pStyle w:val="Heading3"/>
        <w:rPr/>
      </w:pPr>
      <w:r w:rsidDel="00000000" w:rsidR="00000000" w:rsidRPr="00000000">
        <w:rPr>
          <w:rtl w:val="0"/>
        </w:rPr>
      </w:r>
    </w:p>
    <w:p w:rsidR="00000000" w:rsidDel="00000000" w:rsidP="00000000" w:rsidRDefault="00000000" w:rsidRPr="00000000" w14:paraId="000000DA">
      <w:pPr>
        <w:pStyle w:val="Heading3"/>
        <w:rPr/>
      </w:pPr>
      <w:r w:rsidDel="00000000" w:rsidR="00000000" w:rsidRPr="00000000">
        <w:rPr>
          <w:rtl w:val="0"/>
        </w:rPr>
        <w:t xml:space="preserve">Reaktionstid (Extinction-test)</w:t>
      </w:r>
    </w:p>
    <w:tbl>
      <w:tblPr>
        <w:tblStyle w:val="Table6"/>
        <w:tblW w:w="885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9"/>
        <w:gridCol w:w="567"/>
        <w:gridCol w:w="709"/>
        <w:gridCol w:w="708"/>
        <w:gridCol w:w="709"/>
        <w:gridCol w:w="851"/>
        <w:gridCol w:w="850"/>
        <w:gridCol w:w="947"/>
        <w:gridCol w:w="840"/>
        <w:gridCol w:w="851"/>
        <w:gridCol w:w="865"/>
        <w:tblGridChange w:id="0">
          <w:tblGrid>
            <w:gridCol w:w="959"/>
            <w:gridCol w:w="567"/>
            <w:gridCol w:w="709"/>
            <w:gridCol w:w="708"/>
            <w:gridCol w:w="709"/>
            <w:gridCol w:w="851"/>
            <w:gridCol w:w="850"/>
            <w:gridCol w:w="947"/>
            <w:gridCol w:w="840"/>
            <w:gridCol w:w="851"/>
            <w:gridCol w:w="865"/>
          </w:tblGrid>
        </w:tblGridChange>
      </w:tblGrid>
      <w:tr>
        <w:trPr>
          <w:cantSplit w:val="0"/>
          <w:tblHeader w:val="1"/>
        </w:trPr>
        <w:tc>
          <w:tcPr/>
          <w:p w:rsidR="00000000" w:rsidDel="00000000" w:rsidP="00000000" w:rsidRDefault="00000000" w:rsidRPr="00000000" w14:paraId="000000DB">
            <w:pPr>
              <w:rPr/>
            </w:pPr>
            <w:r w:rsidDel="00000000" w:rsidR="00000000" w:rsidRPr="00000000">
              <w:rPr>
                <w:rtl w:val="0"/>
              </w:rPr>
              <w:t xml:space="preserve">Kohorte</w:t>
            </w:r>
          </w:p>
        </w:tc>
        <w:tc>
          <w:tcPr/>
          <w:p w:rsidR="00000000" w:rsidDel="00000000" w:rsidP="00000000" w:rsidRDefault="00000000" w:rsidRPr="00000000" w14:paraId="000000DC">
            <w:pPr>
              <w:rPr/>
            </w:pPr>
            <w:r w:rsidDel="00000000" w:rsidR="00000000" w:rsidRPr="00000000">
              <w:rPr>
                <w:rtl w:val="0"/>
              </w:rPr>
              <w:t xml:space="preserve">N total / evaluérbare</w:t>
            </w:r>
          </w:p>
        </w:tc>
        <w:tc>
          <w:tcPr/>
          <w:p w:rsidR="00000000" w:rsidDel="00000000" w:rsidP="00000000" w:rsidRDefault="00000000" w:rsidRPr="00000000" w14:paraId="000000DD">
            <w:pPr>
              <w:rPr/>
            </w:pPr>
            <w:r w:rsidDel="00000000" w:rsidR="00000000" w:rsidRPr="00000000">
              <w:rPr>
                <w:rtl w:val="0"/>
              </w:rPr>
              <w:t xml:space="preserve">Middelværdi før behandling (s)</w:t>
            </w:r>
          </w:p>
        </w:tc>
        <w:tc>
          <w:tcPr/>
          <w:p w:rsidR="00000000" w:rsidDel="00000000" w:rsidP="00000000" w:rsidRDefault="00000000" w:rsidRPr="00000000" w14:paraId="000000DE">
            <w:pPr>
              <w:rPr/>
            </w:pPr>
            <w:r w:rsidDel="00000000" w:rsidR="00000000" w:rsidRPr="00000000">
              <w:rPr>
                <w:rtl w:val="0"/>
              </w:rPr>
              <w:t xml:space="preserve">Middelværdi ved opfølgning (s)</w:t>
            </w:r>
          </w:p>
        </w:tc>
        <w:tc>
          <w:tcPr/>
          <w:p w:rsidR="00000000" w:rsidDel="00000000" w:rsidP="00000000" w:rsidRDefault="00000000" w:rsidRPr="00000000" w14:paraId="000000DF">
            <w:pPr>
              <w:rPr/>
            </w:pPr>
            <w:r w:rsidDel="00000000" w:rsidR="00000000" w:rsidRPr="00000000">
              <w:rPr>
                <w:rtl w:val="0"/>
              </w:rPr>
              <w:t xml:space="preserve">Gennemsnitlig ændring (s)</w:t>
            </w:r>
          </w:p>
        </w:tc>
        <w:tc>
          <w:tcPr/>
          <w:p w:rsidR="00000000" w:rsidDel="00000000" w:rsidP="00000000" w:rsidRDefault="00000000" w:rsidRPr="00000000" w14:paraId="000000E0">
            <w:pPr>
              <w:rPr/>
            </w:pPr>
            <w:r w:rsidDel="00000000" w:rsidR="00000000" w:rsidRPr="00000000">
              <w:rPr>
                <w:rtl w:val="0"/>
              </w:rPr>
              <w:t xml:space="preserve">Gennemsnitlig % forbedring (vs. 0,30 s)</w:t>
            </w:r>
          </w:p>
        </w:tc>
        <w:tc>
          <w:tcPr/>
          <w:p w:rsidR="00000000" w:rsidDel="00000000" w:rsidP="00000000" w:rsidRDefault="00000000" w:rsidRPr="00000000" w14:paraId="000000E1">
            <w:pPr>
              <w:rPr/>
            </w:pPr>
            <w:r w:rsidDel="00000000" w:rsidR="00000000" w:rsidRPr="00000000">
              <w:rPr>
                <w:rtl w:val="0"/>
              </w:rPr>
              <w:t xml:space="preserve">Responderandel (alle med RT-data)</w:t>
            </w:r>
          </w:p>
        </w:tc>
        <w:tc>
          <w:tcPr/>
          <w:p w:rsidR="00000000" w:rsidDel="00000000" w:rsidP="00000000" w:rsidRDefault="00000000" w:rsidRPr="00000000" w14:paraId="000000E2">
            <w:pPr>
              <w:rPr/>
            </w:pPr>
            <w:r w:rsidDel="00000000" w:rsidR="00000000" w:rsidRPr="00000000">
              <w:rPr>
                <w:rtl w:val="0"/>
              </w:rPr>
              <w:t xml:space="preserve">Ikke evaluérbare i %-analyse</w:t>
            </w:r>
          </w:p>
        </w:tc>
        <w:tc>
          <w:tcPr/>
          <w:p w:rsidR="00000000" w:rsidDel="00000000" w:rsidP="00000000" w:rsidRDefault="00000000" w:rsidRPr="00000000" w14:paraId="000000E3">
            <w:pPr>
              <w:rPr/>
            </w:pPr>
            <w:r w:rsidDel="00000000" w:rsidR="00000000" w:rsidRPr="00000000">
              <w:rPr>
                <w:rtl w:val="0"/>
              </w:rPr>
              <w:t xml:space="preserve">95 % KI (% forbedring)</w:t>
            </w:r>
          </w:p>
        </w:tc>
        <w:tc>
          <w:tcPr/>
          <w:p w:rsidR="00000000" w:rsidDel="00000000" w:rsidP="00000000" w:rsidRDefault="00000000" w:rsidRPr="00000000" w14:paraId="000000E4">
            <w:pPr>
              <w:rPr/>
            </w:pPr>
            <w:r w:rsidDel="00000000" w:rsidR="00000000" w:rsidRPr="00000000">
              <w:rPr>
                <w:rtl w:val="0"/>
              </w:rPr>
              <w:t xml:space="preserve">Responderandel (evaluérbare)</w:t>
            </w:r>
          </w:p>
        </w:tc>
        <w:tc>
          <w:tcPr/>
          <w:p w:rsidR="00000000" w:rsidDel="00000000" w:rsidP="00000000" w:rsidRDefault="00000000" w:rsidRPr="00000000" w14:paraId="000000E5">
            <w:pPr>
              <w:rPr/>
            </w:pPr>
            <w:r w:rsidDel="00000000" w:rsidR="00000000" w:rsidRPr="00000000">
              <w:rPr>
                <w:rtl w:val="0"/>
              </w:rPr>
              <w:t xml:space="preserve">95 % KI (responderandel)</w:t>
            </w:r>
          </w:p>
        </w:tc>
      </w:tr>
      <w:tr>
        <w:trPr>
          <w:cantSplit w:val="0"/>
          <w:tblHeader w:val="0"/>
        </w:trPr>
        <w:tc>
          <w:tcPr/>
          <w:p w:rsidR="00000000" w:rsidDel="00000000" w:rsidP="00000000" w:rsidRDefault="00000000" w:rsidRPr="00000000" w14:paraId="000000E6">
            <w:pPr>
              <w:rPr/>
            </w:pPr>
            <w:r w:rsidDel="00000000" w:rsidR="00000000" w:rsidRPr="00000000">
              <w:rPr>
                <w:rtl w:val="0"/>
              </w:rPr>
              <w:t xml:space="preserve">Stroke/TBI</w:t>
            </w:r>
          </w:p>
        </w:tc>
        <w:tc>
          <w:tcPr/>
          <w:p w:rsidR="00000000" w:rsidDel="00000000" w:rsidP="00000000" w:rsidRDefault="00000000" w:rsidRPr="00000000" w14:paraId="000000E7">
            <w:pPr>
              <w:rPr/>
            </w:pPr>
            <w:r w:rsidDel="00000000" w:rsidR="00000000" w:rsidRPr="00000000">
              <w:rPr>
                <w:rtl w:val="0"/>
              </w:rPr>
              <w:t xml:space="preserve">29 / 27</w:t>
            </w:r>
          </w:p>
        </w:tc>
        <w:tc>
          <w:tcPr/>
          <w:p w:rsidR="00000000" w:rsidDel="00000000" w:rsidP="00000000" w:rsidRDefault="00000000" w:rsidRPr="00000000" w14:paraId="000000E8">
            <w:pPr>
              <w:rPr/>
            </w:pPr>
            <w:r w:rsidDel="00000000" w:rsidR="00000000" w:rsidRPr="00000000">
              <w:rPr>
                <w:rtl w:val="0"/>
              </w:rPr>
              <w:t xml:space="preserve">0.74</w:t>
            </w:r>
          </w:p>
        </w:tc>
        <w:tc>
          <w:tcPr/>
          <w:p w:rsidR="00000000" w:rsidDel="00000000" w:rsidP="00000000" w:rsidRDefault="00000000" w:rsidRPr="00000000" w14:paraId="000000E9">
            <w:pPr>
              <w:rPr/>
            </w:pPr>
            <w:r w:rsidDel="00000000" w:rsidR="00000000" w:rsidRPr="00000000">
              <w:rPr>
                <w:rtl w:val="0"/>
              </w:rPr>
              <w:t xml:space="preserve">0.59</w:t>
            </w:r>
          </w:p>
        </w:tc>
        <w:tc>
          <w:tcPr/>
          <w:p w:rsidR="00000000" w:rsidDel="00000000" w:rsidP="00000000" w:rsidRDefault="00000000" w:rsidRPr="00000000" w14:paraId="000000EA">
            <w:pPr>
              <w:rPr/>
            </w:pPr>
            <w:r w:rsidDel="00000000" w:rsidR="00000000" w:rsidRPr="00000000">
              <w:rPr>
                <w:rtl w:val="0"/>
              </w:rPr>
              <w:t xml:space="preserve">0.15</w:t>
            </w:r>
          </w:p>
        </w:tc>
        <w:tc>
          <w:tcPr/>
          <w:p w:rsidR="00000000" w:rsidDel="00000000" w:rsidP="00000000" w:rsidRDefault="00000000" w:rsidRPr="00000000" w14:paraId="000000EB">
            <w:pPr>
              <w:rPr/>
            </w:pPr>
            <w:r w:rsidDel="00000000" w:rsidR="00000000" w:rsidRPr="00000000">
              <w:rPr>
                <w:rtl w:val="0"/>
              </w:rPr>
              <w:t xml:space="preserve">29.0% (n=27)</w:t>
            </w:r>
          </w:p>
        </w:tc>
        <w:tc>
          <w:tcPr/>
          <w:p w:rsidR="00000000" w:rsidDel="00000000" w:rsidP="00000000" w:rsidRDefault="00000000" w:rsidRPr="00000000" w14:paraId="000000EC">
            <w:pPr>
              <w:rPr/>
            </w:pPr>
            <w:r w:rsidDel="00000000" w:rsidR="00000000" w:rsidRPr="00000000">
              <w:rPr>
                <w:rtl w:val="0"/>
              </w:rPr>
              <w:t xml:space="preserve">72% (21/29)</w:t>
            </w:r>
          </w:p>
        </w:tc>
        <w:tc>
          <w:tcPr/>
          <w:p w:rsidR="00000000" w:rsidDel="00000000" w:rsidP="00000000" w:rsidRDefault="00000000" w:rsidRPr="00000000" w14:paraId="000000ED">
            <w:pPr>
              <w:rPr/>
            </w:pPr>
            <w:r w:rsidDel="00000000" w:rsidR="00000000" w:rsidRPr="00000000">
              <w:rPr>
                <w:rtl w:val="0"/>
              </w:rPr>
              <w:t xml:space="preserve">2</w:t>
            </w:r>
          </w:p>
        </w:tc>
        <w:tc>
          <w:tcPr/>
          <w:p w:rsidR="00000000" w:rsidDel="00000000" w:rsidP="00000000" w:rsidRDefault="00000000" w:rsidRPr="00000000" w14:paraId="000000EE">
            <w:pPr>
              <w:rPr/>
            </w:pPr>
            <w:r w:rsidDel="00000000" w:rsidR="00000000" w:rsidRPr="00000000">
              <w:rPr>
                <w:rtl w:val="0"/>
              </w:rPr>
              <w:t xml:space="preserve">14.3–43.7</w:t>
            </w:r>
          </w:p>
        </w:tc>
        <w:tc>
          <w:tcPr/>
          <w:p w:rsidR="00000000" w:rsidDel="00000000" w:rsidP="00000000" w:rsidRDefault="00000000" w:rsidRPr="00000000" w14:paraId="000000EF">
            <w:pPr>
              <w:rPr/>
            </w:pPr>
            <w:r w:rsidDel="00000000" w:rsidR="00000000" w:rsidRPr="00000000">
              <w:rPr>
                <w:rtl w:val="0"/>
              </w:rPr>
              <w:t xml:space="preserve">78%</w:t>
            </w:r>
          </w:p>
        </w:tc>
        <w:tc>
          <w:tcPr/>
          <w:p w:rsidR="00000000" w:rsidDel="00000000" w:rsidP="00000000" w:rsidRDefault="00000000" w:rsidRPr="00000000" w14:paraId="000000F0">
            <w:pPr>
              <w:rPr/>
            </w:pPr>
            <w:r w:rsidDel="00000000" w:rsidR="00000000" w:rsidRPr="00000000">
              <w:rPr>
                <w:rtl w:val="0"/>
              </w:rPr>
              <w:t xml:space="preserve">59%–89%</w:t>
            </w:r>
          </w:p>
        </w:tc>
      </w:tr>
      <w:tr>
        <w:trPr>
          <w:cantSplit w:val="0"/>
          <w:tblHeader w:val="0"/>
        </w:trPr>
        <w:tc>
          <w:tcPr/>
          <w:p w:rsidR="00000000" w:rsidDel="00000000" w:rsidP="00000000" w:rsidRDefault="00000000" w:rsidRPr="00000000" w14:paraId="000000F1">
            <w:pPr>
              <w:rPr/>
            </w:pPr>
            <w:r w:rsidDel="00000000" w:rsidR="00000000" w:rsidRPr="00000000">
              <w:rPr>
                <w:rtl w:val="0"/>
              </w:rPr>
              <w:t xml:space="preserve">Hjernerystelse</w:t>
            </w:r>
          </w:p>
        </w:tc>
        <w:tc>
          <w:tcPr/>
          <w:p w:rsidR="00000000" w:rsidDel="00000000" w:rsidP="00000000" w:rsidRDefault="00000000" w:rsidRPr="00000000" w14:paraId="000000F2">
            <w:pPr>
              <w:rPr/>
            </w:pPr>
            <w:r w:rsidDel="00000000" w:rsidR="00000000" w:rsidRPr="00000000">
              <w:rPr>
                <w:rtl w:val="0"/>
              </w:rPr>
              <w:t xml:space="preserve">21 / 16</w:t>
            </w:r>
          </w:p>
        </w:tc>
        <w:tc>
          <w:tcPr/>
          <w:p w:rsidR="00000000" w:rsidDel="00000000" w:rsidP="00000000" w:rsidRDefault="00000000" w:rsidRPr="00000000" w14:paraId="000000F3">
            <w:pPr>
              <w:rPr/>
            </w:pPr>
            <w:r w:rsidDel="00000000" w:rsidR="00000000" w:rsidRPr="00000000">
              <w:rPr>
                <w:rtl w:val="0"/>
              </w:rPr>
              <w:t xml:space="preserve">0.49</w:t>
            </w:r>
          </w:p>
        </w:tc>
        <w:tc>
          <w:tcPr/>
          <w:p w:rsidR="00000000" w:rsidDel="00000000" w:rsidP="00000000" w:rsidRDefault="00000000" w:rsidRPr="00000000" w14:paraId="000000F4">
            <w:pPr>
              <w:rPr/>
            </w:pPr>
            <w:r w:rsidDel="00000000" w:rsidR="00000000" w:rsidRPr="00000000">
              <w:rPr>
                <w:rtl w:val="0"/>
              </w:rPr>
              <w:t xml:space="preserve">0.37</w:t>
            </w:r>
          </w:p>
        </w:tc>
        <w:tc>
          <w:tcPr/>
          <w:p w:rsidR="00000000" w:rsidDel="00000000" w:rsidP="00000000" w:rsidRDefault="00000000" w:rsidRPr="00000000" w14:paraId="000000F5">
            <w:pPr>
              <w:rPr/>
            </w:pPr>
            <w:r w:rsidDel="00000000" w:rsidR="00000000" w:rsidRPr="00000000">
              <w:rPr>
                <w:rtl w:val="0"/>
              </w:rPr>
              <w:t xml:space="preserve">0.12</w:t>
            </w:r>
          </w:p>
        </w:tc>
        <w:tc>
          <w:tcPr/>
          <w:p w:rsidR="00000000" w:rsidDel="00000000" w:rsidP="00000000" w:rsidRDefault="00000000" w:rsidRPr="00000000" w14:paraId="000000F6">
            <w:pPr>
              <w:rPr/>
            </w:pPr>
            <w:r w:rsidDel="00000000" w:rsidR="00000000" w:rsidRPr="00000000">
              <w:rPr>
                <w:rtl w:val="0"/>
              </w:rPr>
              <w:t xml:space="preserve">57.3% (n=16)</w:t>
            </w:r>
          </w:p>
        </w:tc>
        <w:tc>
          <w:tcPr/>
          <w:p w:rsidR="00000000" w:rsidDel="00000000" w:rsidP="00000000" w:rsidRDefault="00000000" w:rsidRPr="00000000" w14:paraId="000000F7">
            <w:pPr>
              <w:rPr/>
            </w:pPr>
            <w:r w:rsidDel="00000000" w:rsidR="00000000" w:rsidRPr="00000000">
              <w:rPr>
                <w:rtl w:val="0"/>
              </w:rPr>
              <w:t xml:space="preserve">67% (14/21)</w:t>
            </w:r>
          </w:p>
        </w:tc>
        <w:tc>
          <w:tcPr/>
          <w:p w:rsidR="00000000" w:rsidDel="00000000" w:rsidP="00000000" w:rsidRDefault="00000000" w:rsidRPr="00000000" w14:paraId="000000F8">
            <w:pPr>
              <w:rPr/>
            </w:pPr>
            <w:r w:rsidDel="00000000" w:rsidR="00000000" w:rsidRPr="00000000">
              <w:rPr>
                <w:rtl w:val="0"/>
              </w:rPr>
              <w:t xml:space="preserve">5</w:t>
            </w:r>
          </w:p>
        </w:tc>
        <w:tc>
          <w:tcPr/>
          <w:p w:rsidR="00000000" w:rsidDel="00000000" w:rsidP="00000000" w:rsidRDefault="00000000" w:rsidRPr="00000000" w14:paraId="000000F9">
            <w:pPr>
              <w:rPr/>
            </w:pPr>
            <w:r w:rsidDel="00000000" w:rsidR="00000000" w:rsidRPr="00000000">
              <w:rPr>
                <w:rtl w:val="0"/>
              </w:rPr>
              <w:t xml:space="preserve">[39.9%; 74.7%]</w:t>
            </w:r>
          </w:p>
        </w:tc>
        <w:tc>
          <w:tcPr/>
          <w:p w:rsidR="00000000" w:rsidDel="00000000" w:rsidP="00000000" w:rsidRDefault="00000000" w:rsidRPr="00000000" w14:paraId="000000FA">
            <w:pPr>
              <w:rPr/>
            </w:pPr>
            <w:r w:rsidDel="00000000" w:rsidR="00000000" w:rsidRPr="00000000">
              <w:rPr>
                <w:rtl w:val="0"/>
              </w:rPr>
              <w:t xml:space="preserve">88% (14/16)</w:t>
            </w:r>
          </w:p>
        </w:tc>
        <w:tc>
          <w:tcPr/>
          <w:p w:rsidR="00000000" w:rsidDel="00000000" w:rsidP="00000000" w:rsidRDefault="00000000" w:rsidRPr="00000000" w14:paraId="000000FB">
            <w:pPr>
              <w:rPr/>
            </w:pPr>
            <w:r w:rsidDel="00000000" w:rsidR="00000000" w:rsidRPr="00000000">
              <w:rPr>
                <w:rtl w:val="0"/>
              </w:rPr>
              <w:t xml:space="preserve">[64%; 97%]</w:t>
            </w:r>
          </w:p>
        </w:tc>
      </w:tr>
      <w:tr>
        <w:trPr>
          <w:cantSplit w:val="0"/>
          <w:tblHeader w:val="0"/>
        </w:trPr>
        <w:tc>
          <w:tcPr/>
          <w:p w:rsidR="00000000" w:rsidDel="00000000" w:rsidP="00000000" w:rsidRDefault="00000000" w:rsidRPr="00000000" w14:paraId="000000FC">
            <w:pPr>
              <w:rPr/>
            </w:pPr>
            <w:r w:rsidDel="00000000" w:rsidR="00000000" w:rsidRPr="00000000">
              <w:rPr>
                <w:rtl w:val="0"/>
              </w:rPr>
              <w:t xml:space="preserve">COVID-19</w:t>
            </w:r>
          </w:p>
        </w:tc>
        <w:tc>
          <w:tcPr/>
          <w:p w:rsidR="00000000" w:rsidDel="00000000" w:rsidP="00000000" w:rsidRDefault="00000000" w:rsidRPr="00000000" w14:paraId="000000FD">
            <w:pPr>
              <w:rPr/>
            </w:pPr>
            <w:r w:rsidDel="00000000" w:rsidR="00000000" w:rsidRPr="00000000">
              <w:rPr>
                <w:rtl w:val="0"/>
              </w:rPr>
              <w:t xml:space="preserve">4 / 4</w:t>
            </w:r>
          </w:p>
        </w:tc>
        <w:tc>
          <w:tcPr/>
          <w:p w:rsidR="00000000" w:rsidDel="00000000" w:rsidP="00000000" w:rsidRDefault="00000000" w:rsidRPr="00000000" w14:paraId="000000FE">
            <w:pPr>
              <w:rPr/>
            </w:pPr>
            <w:r w:rsidDel="00000000" w:rsidR="00000000" w:rsidRPr="00000000">
              <w:rPr>
                <w:rtl w:val="0"/>
              </w:rPr>
              <w:t xml:space="preserve">0.46</w:t>
            </w:r>
          </w:p>
        </w:tc>
        <w:tc>
          <w:tcPr/>
          <w:p w:rsidR="00000000" w:rsidDel="00000000" w:rsidP="00000000" w:rsidRDefault="00000000" w:rsidRPr="00000000" w14:paraId="000000FF">
            <w:pPr>
              <w:rPr/>
            </w:pPr>
            <w:r w:rsidDel="00000000" w:rsidR="00000000" w:rsidRPr="00000000">
              <w:rPr>
                <w:rtl w:val="0"/>
              </w:rPr>
              <w:t xml:space="preserve">0.35</w:t>
            </w:r>
          </w:p>
        </w:tc>
        <w:tc>
          <w:tcPr/>
          <w:p w:rsidR="00000000" w:rsidDel="00000000" w:rsidP="00000000" w:rsidRDefault="00000000" w:rsidRPr="00000000" w14:paraId="00000100">
            <w:pPr>
              <w:rPr/>
            </w:pPr>
            <w:r w:rsidDel="00000000" w:rsidR="00000000" w:rsidRPr="00000000">
              <w:rPr>
                <w:rtl w:val="0"/>
              </w:rPr>
              <w:t xml:space="preserve">0.11</w:t>
            </w:r>
          </w:p>
        </w:tc>
        <w:tc>
          <w:tcPr/>
          <w:p w:rsidR="00000000" w:rsidDel="00000000" w:rsidP="00000000" w:rsidRDefault="00000000" w:rsidRPr="00000000" w14:paraId="00000101">
            <w:pPr>
              <w:rPr/>
            </w:pPr>
            <w:r w:rsidDel="00000000" w:rsidR="00000000" w:rsidRPr="00000000">
              <w:rPr>
                <w:rtl w:val="0"/>
              </w:rPr>
              <w:t xml:space="preserve">76.4% (n=4)</w:t>
            </w:r>
          </w:p>
        </w:tc>
        <w:tc>
          <w:tcPr/>
          <w:p w:rsidR="00000000" w:rsidDel="00000000" w:rsidP="00000000" w:rsidRDefault="00000000" w:rsidRPr="00000000" w14:paraId="00000102">
            <w:pPr>
              <w:rPr/>
            </w:pPr>
            <w:r w:rsidDel="00000000" w:rsidR="00000000" w:rsidRPr="00000000">
              <w:rPr>
                <w:rtl w:val="0"/>
              </w:rPr>
              <w:t xml:space="preserve">100%</w:t>
            </w:r>
          </w:p>
        </w:tc>
        <w:tc>
          <w:tcPr/>
          <w:p w:rsidR="00000000" w:rsidDel="00000000" w:rsidP="00000000" w:rsidRDefault="00000000" w:rsidRPr="00000000" w14:paraId="00000103">
            <w:pPr>
              <w:rPr/>
            </w:pPr>
            <w:r w:rsidDel="00000000" w:rsidR="00000000" w:rsidRPr="00000000">
              <w:rPr>
                <w:rtl w:val="0"/>
              </w:rPr>
              <w:t xml:space="preserve">0</w:t>
            </w:r>
          </w:p>
        </w:tc>
        <w:tc>
          <w:tcPr/>
          <w:p w:rsidR="00000000" w:rsidDel="00000000" w:rsidP="00000000" w:rsidRDefault="00000000" w:rsidRPr="00000000" w14:paraId="00000104">
            <w:pPr>
              <w:rPr/>
            </w:pPr>
            <w:r w:rsidDel="00000000" w:rsidR="00000000" w:rsidRPr="00000000">
              <w:rPr>
                <w:rtl w:val="0"/>
              </w:rPr>
              <w:t xml:space="preserve">41.9–111.0</w:t>
            </w:r>
          </w:p>
        </w:tc>
        <w:tc>
          <w:tcPr/>
          <w:p w:rsidR="00000000" w:rsidDel="00000000" w:rsidP="00000000" w:rsidRDefault="00000000" w:rsidRPr="00000000" w14:paraId="00000105">
            <w:pPr>
              <w:rPr/>
            </w:pPr>
            <w:r w:rsidDel="00000000" w:rsidR="00000000" w:rsidRPr="00000000">
              <w:rPr>
                <w:rtl w:val="0"/>
              </w:rPr>
              <w:t xml:space="preserve">100%</w:t>
            </w:r>
          </w:p>
        </w:tc>
        <w:tc>
          <w:tcPr/>
          <w:p w:rsidR="00000000" w:rsidDel="00000000" w:rsidP="00000000" w:rsidRDefault="00000000" w:rsidRPr="00000000" w14:paraId="00000106">
            <w:pPr>
              <w:rPr/>
            </w:pPr>
            <w:r w:rsidDel="00000000" w:rsidR="00000000" w:rsidRPr="00000000">
              <w:rPr>
                <w:rtl w:val="0"/>
              </w:rPr>
              <w:t xml:space="preserve">51%–100%</w:t>
            </w:r>
          </w:p>
        </w:tc>
      </w:tr>
      <w:tr>
        <w:trPr>
          <w:cantSplit w:val="0"/>
          <w:tblHeader w:val="0"/>
        </w:trPr>
        <w:tc>
          <w:tcPr/>
          <w:p w:rsidR="00000000" w:rsidDel="00000000" w:rsidP="00000000" w:rsidRDefault="00000000" w:rsidRPr="00000000" w14:paraId="00000107">
            <w:pPr>
              <w:rPr/>
            </w:pPr>
            <w:r w:rsidDel="00000000" w:rsidR="00000000" w:rsidRPr="00000000">
              <w:rPr>
                <w:rtl w:val="0"/>
              </w:rPr>
              <w:t xml:space="preserve">Stress</w:t>
            </w:r>
          </w:p>
        </w:tc>
        <w:tc>
          <w:tcPr/>
          <w:p w:rsidR="00000000" w:rsidDel="00000000" w:rsidP="00000000" w:rsidRDefault="00000000" w:rsidRPr="00000000" w14:paraId="00000108">
            <w:pPr>
              <w:rPr/>
            </w:pPr>
            <w:r w:rsidDel="00000000" w:rsidR="00000000" w:rsidRPr="00000000">
              <w:rPr>
                <w:rtl w:val="0"/>
              </w:rPr>
              <w:t xml:space="preserve">1 / 1</w:t>
            </w:r>
          </w:p>
        </w:tc>
        <w:tc>
          <w:tcPr/>
          <w:p w:rsidR="00000000" w:rsidDel="00000000" w:rsidP="00000000" w:rsidRDefault="00000000" w:rsidRPr="00000000" w14:paraId="00000109">
            <w:pPr>
              <w:rPr/>
            </w:pPr>
            <w:r w:rsidDel="00000000" w:rsidR="00000000" w:rsidRPr="00000000">
              <w:rPr>
                <w:rtl w:val="0"/>
              </w:rPr>
              <w:t xml:space="preserve">0.42</w:t>
            </w:r>
          </w:p>
        </w:tc>
        <w:tc>
          <w:tcPr/>
          <w:p w:rsidR="00000000" w:rsidDel="00000000" w:rsidP="00000000" w:rsidRDefault="00000000" w:rsidRPr="00000000" w14:paraId="0000010A">
            <w:pPr>
              <w:rPr/>
            </w:pPr>
            <w:r w:rsidDel="00000000" w:rsidR="00000000" w:rsidRPr="00000000">
              <w:rPr>
                <w:rtl w:val="0"/>
              </w:rPr>
              <w:t xml:space="preserve">0.34</w:t>
            </w:r>
          </w:p>
        </w:tc>
        <w:tc>
          <w:tcPr/>
          <w:p w:rsidR="00000000" w:rsidDel="00000000" w:rsidP="00000000" w:rsidRDefault="00000000" w:rsidRPr="00000000" w14:paraId="0000010B">
            <w:pPr>
              <w:rPr/>
            </w:pPr>
            <w:r w:rsidDel="00000000" w:rsidR="00000000" w:rsidRPr="00000000">
              <w:rPr>
                <w:rtl w:val="0"/>
              </w:rPr>
              <w:t xml:space="preserve">0.07</w:t>
            </w:r>
          </w:p>
        </w:tc>
        <w:tc>
          <w:tcPr/>
          <w:p w:rsidR="00000000" w:rsidDel="00000000" w:rsidP="00000000" w:rsidRDefault="00000000" w:rsidRPr="00000000" w14:paraId="0000010C">
            <w:pPr>
              <w:rPr/>
            </w:pPr>
            <w:r w:rsidDel="00000000" w:rsidR="00000000" w:rsidRPr="00000000">
              <w:rPr>
                <w:rtl w:val="0"/>
              </w:rPr>
              <w:t xml:space="preserve">61.1% (n=1)</w:t>
            </w:r>
          </w:p>
        </w:tc>
        <w:tc>
          <w:tcPr/>
          <w:p w:rsidR="00000000" w:rsidDel="00000000" w:rsidP="00000000" w:rsidRDefault="00000000" w:rsidRPr="00000000" w14:paraId="0000010D">
            <w:pPr>
              <w:rPr/>
            </w:pPr>
            <w:r w:rsidDel="00000000" w:rsidR="00000000" w:rsidRPr="00000000">
              <w:rPr>
                <w:rtl w:val="0"/>
              </w:rPr>
              <w:t xml:space="preserve">100%</w:t>
            </w:r>
          </w:p>
        </w:tc>
        <w:tc>
          <w:tcPr/>
          <w:p w:rsidR="00000000" w:rsidDel="00000000" w:rsidP="00000000" w:rsidRDefault="00000000" w:rsidRPr="00000000" w14:paraId="0000010E">
            <w:pPr>
              <w:rPr/>
            </w:pPr>
            <w:r w:rsidDel="00000000" w:rsidR="00000000" w:rsidRPr="00000000">
              <w:rPr>
                <w:rtl w:val="0"/>
              </w:rPr>
              <w:t xml:space="preserve">0</w:t>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t xml:space="preserve">100%</w:t>
            </w:r>
          </w:p>
        </w:tc>
        <w:tc>
          <w:tcPr/>
          <w:p w:rsidR="00000000" w:rsidDel="00000000" w:rsidP="00000000" w:rsidRDefault="00000000" w:rsidRPr="00000000" w14:paraId="00000111">
            <w:pPr>
              <w:rPr/>
            </w:pPr>
            <w:r w:rsidDel="00000000" w:rsidR="00000000" w:rsidRPr="00000000">
              <w:rPr>
                <w:rtl w:val="0"/>
              </w:rPr>
              <w:t xml:space="preserve">21%–100%</w:t>
            </w:r>
          </w:p>
        </w:tc>
      </w:tr>
      <w:tr>
        <w:trPr>
          <w:cantSplit w:val="0"/>
          <w:tblHeader w:val="0"/>
        </w:trPr>
        <w:tc>
          <w:tcPr/>
          <w:p w:rsidR="00000000" w:rsidDel="00000000" w:rsidP="00000000" w:rsidRDefault="00000000" w:rsidRPr="00000000" w14:paraId="00000112">
            <w:pPr>
              <w:rPr/>
            </w:pPr>
            <w:r w:rsidDel="00000000" w:rsidR="00000000" w:rsidRPr="00000000">
              <w:rPr>
                <w:rtl w:val="0"/>
              </w:rPr>
              <w:t xml:space="preserve">Andet</w:t>
            </w:r>
          </w:p>
        </w:tc>
        <w:tc>
          <w:tcPr/>
          <w:p w:rsidR="00000000" w:rsidDel="00000000" w:rsidP="00000000" w:rsidRDefault="00000000" w:rsidRPr="00000000" w14:paraId="00000113">
            <w:pPr>
              <w:rPr/>
            </w:pPr>
            <w:r w:rsidDel="00000000" w:rsidR="00000000" w:rsidRPr="00000000">
              <w:rPr>
                <w:rtl w:val="0"/>
              </w:rPr>
              <w:t xml:space="preserve">1 / 1</w:t>
            </w:r>
          </w:p>
        </w:tc>
        <w:tc>
          <w:tcPr/>
          <w:p w:rsidR="00000000" w:rsidDel="00000000" w:rsidP="00000000" w:rsidRDefault="00000000" w:rsidRPr="00000000" w14:paraId="00000114">
            <w:pPr>
              <w:rPr/>
            </w:pPr>
            <w:r w:rsidDel="00000000" w:rsidR="00000000" w:rsidRPr="00000000">
              <w:rPr>
                <w:rtl w:val="0"/>
              </w:rPr>
              <w:t xml:space="preserve">0.48</w:t>
            </w:r>
          </w:p>
        </w:tc>
        <w:tc>
          <w:tcPr/>
          <w:p w:rsidR="00000000" w:rsidDel="00000000" w:rsidP="00000000" w:rsidRDefault="00000000" w:rsidRPr="00000000" w14:paraId="00000115">
            <w:pPr>
              <w:rPr/>
            </w:pPr>
            <w:r w:rsidDel="00000000" w:rsidR="00000000" w:rsidRPr="00000000">
              <w:rPr>
                <w:rtl w:val="0"/>
              </w:rPr>
              <w:t xml:space="preserve">0.49</w:t>
            </w:r>
          </w:p>
        </w:tc>
        <w:tc>
          <w:tcPr/>
          <w:p w:rsidR="00000000" w:rsidDel="00000000" w:rsidP="00000000" w:rsidRDefault="00000000" w:rsidRPr="00000000" w14:paraId="00000116">
            <w:pPr>
              <w:rPr/>
            </w:pPr>
            <w:r w:rsidDel="00000000" w:rsidR="00000000" w:rsidRPr="00000000">
              <w:rPr>
                <w:rtl w:val="0"/>
              </w:rPr>
              <w:t xml:space="preserve">-0.00</w:t>
            </w:r>
          </w:p>
        </w:tc>
        <w:tc>
          <w:tcPr/>
          <w:p w:rsidR="00000000" w:rsidDel="00000000" w:rsidP="00000000" w:rsidRDefault="00000000" w:rsidRPr="00000000" w14:paraId="00000117">
            <w:pPr>
              <w:rPr/>
            </w:pPr>
            <w:r w:rsidDel="00000000" w:rsidR="00000000" w:rsidRPr="00000000">
              <w:rPr>
                <w:rtl w:val="0"/>
              </w:rPr>
              <w:t xml:space="preserve">-3.6% (n=1)</w:t>
            </w:r>
          </w:p>
        </w:tc>
        <w:tc>
          <w:tcPr/>
          <w:p w:rsidR="00000000" w:rsidDel="00000000" w:rsidP="00000000" w:rsidRDefault="00000000" w:rsidRPr="00000000" w14:paraId="00000118">
            <w:pPr>
              <w:rPr/>
            </w:pPr>
            <w:r w:rsidDel="00000000" w:rsidR="00000000" w:rsidRPr="00000000">
              <w:rPr>
                <w:rtl w:val="0"/>
              </w:rPr>
              <w:t xml:space="preserve">0%</w:t>
            </w:r>
          </w:p>
        </w:tc>
        <w:tc>
          <w:tcPr/>
          <w:p w:rsidR="00000000" w:rsidDel="00000000" w:rsidP="00000000" w:rsidRDefault="00000000" w:rsidRPr="00000000" w14:paraId="00000119">
            <w:pPr>
              <w:rPr/>
            </w:pPr>
            <w:r w:rsidDel="00000000" w:rsidR="00000000" w:rsidRPr="00000000">
              <w:rPr>
                <w:rtl w:val="0"/>
              </w:rPr>
              <w:t xml:space="preserve">0</w:t>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t xml:space="preserve">0%</w:t>
            </w:r>
          </w:p>
        </w:tc>
        <w:tc>
          <w:tcPr/>
          <w:p w:rsidR="00000000" w:rsidDel="00000000" w:rsidP="00000000" w:rsidRDefault="00000000" w:rsidRPr="00000000" w14:paraId="0000011C">
            <w:pPr>
              <w:rPr/>
            </w:pPr>
            <w:r w:rsidDel="00000000" w:rsidR="00000000" w:rsidRPr="00000000">
              <w:rPr>
                <w:rtl w:val="0"/>
              </w:rPr>
              <w:t xml:space="preserve">0%–79%</w:t>
            </w:r>
          </w:p>
        </w:tc>
      </w:tr>
    </w:tbl>
    <w:p w:rsidR="00000000" w:rsidDel="00000000" w:rsidP="00000000" w:rsidRDefault="00000000" w:rsidRPr="00000000" w14:paraId="0000011D">
      <w:pPr>
        <w:pStyle w:val="Heading2"/>
        <w:rPr/>
      </w:pPr>
      <w:r w:rsidDel="00000000" w:rsidR="00000000" w:rsidRPr="00000000">
        <w:rPr>
          <w:rtl w:val="0"/>
        </w:rPr>
        <w:t xml:space="preserve">Subgruppe- og regressionsanalyse (eksplorativ)</w:t>
      </w:r>
    </w:p>
    <w:p w:rsidR="00000000" w:rsidDel="00000000" w:rsidP="00000000" w:rsidRDefault="00000000" w:rsidRPr="00000000" w14:paraId="0000011E">
      <w:pPr>
        <w:rPr/>
      </w:pPr>
      <w:r w:rsidDel="00000000" w:rsidR="00000000" w:rsidRPr="00000000">
        <w:rPr>
          <w:rtl w:val="0"/>
        </w:rPr>
        <w:t xml:space="preserve">Tid siden skade beregnes som behandlingsdato minus skadesdato og indgår som kovariat i RT%-regressionen i denne version.</w:t>
      </w:r>
    </w:p>
    <w:p w:rsidR="00000000" w:rsidDel="00000000" w:rsidP="00000000" w:rsidRDefault="00000000" w:rsidRPr="00000000" w14:paraId="0000011F">
      <w:pPr>
        <w:pStyle w:val="Heading3"/>
        <w:rPr/>
      </w:pPr>
      <w:r w:rsidDel="00000000" w:rsidR="00000000" w:rsidRPr="00000000">
        <w:rPr>
          <w:rtl w:val="0"/>
        </w:rPr>
        <w:t xml:space="preserve">Tabeller – grundlag for konklusion</w:t>
      </w:r>
    </w:p>
    <w:p w:rsidR="00000000" w:rsidDel="00000000" w:rsidP="00000000" w:rsidRDefault="00000000" w:rsidRPr="00000000" w14:paraId="00000120">
      <w:pPr>
        <w:rPr/>
      </w:pPr>
      <w:r w:rsidDel="00000000" w:rsidR="00000000" w:rsidRPr="00000000">
        <w:rPr>
          <w:rtl w:val="0"/>
        </w:rPr>
        <w:t xml:space="preserve">Tabel R1. Modeloverblik (OLS med robuste standardfejl, HC3).</w:t>
      </w:r>
    </w:p>
    <w:tbl>
      <w:tblPr>
        <w:tblStyle w:val="Table7"/>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73"/>
        <w:gridCol w:w="2736"/>
        <w:gridCol w:w="1353"/>
        <w:gridCol w:w="1434"/>
        <w:gridCol w:w="1434"/>
        <w:tblGridChange w:id="0">
          <w:tblGrid>
            <w:gridCol w:w="1673"/>
            <w:gridCol w:w="2736"/>
            <w:gridCol w:w="1353"/>
            <w:gridCol w:w="1434"/>
            <w:gridCol w:w="1434"/>
          </w:tblGrid>
        </w:tblGridChange>
      </w:tblGrid>
      <w:tr>
        <w:trPr>
          <w:cantSplit w:val="0"/>
          <w:tblHeader w:val="1"/>
        </w:trPr>
        <w:tc>
          <w:tcPr>
            <w:vAlign w:val="center"/>
          </w:tcPr>
          <w:p w:rsidR="00000000" w:rsidDel="00000000" w:rsidP="00000000" w:rsidRDefault="00000000" w:rsidRPr="00000000" w14:paraId="00000121">
            <w:pPr>
              <w:rPr/>
            </w:pPr>
            <w:r w:rsidDel="00000000" w:rsidR="00000000" w:rsidRPr="00000000">
              <w:rPr>
                <w:rtl w:val="0"/>
              </w:rPr>
              <w:t xml:space="preserve">Endepunkt</w:t>
            </w:r>
          </w:p>
        </w:tc>
        <w:tc>
          <w:tcPr>
            <w:vAlign w:val="center"/>
          </w:tcPr>
          <w:p w:rsidR="00000000" w:rsidDel="00000000" w:rsidP="00000000" w:rsidRDefault="00000000" w:rsidRPr="00000000" w14:paraId="00000122">
            <w:pPr>
              <w:rPr/>
            </w:pPr>
            <w:r w:rsidDel="00000000" w:rsidR="00000000" w:rsidRPr="00000000">
              <w:rPr>
                <w:rtl w:val="0"/>
              </w:rPr>
              <w:t xml:space="preserve">Datasæt</w:t>
            </w:r>
          </w:p>
        </w:tc>
        <w:tc>
          <w:tcPr>
            <w:vAlign w:val="center"/>
          </w:tcPr>
          <w:p w:rsidR="00000000" w:rsidDel="00000000" w:rsidP="00000000" w:rsidRDefault="00000000" w:rsidRPr="00000000" w14:paraId="00000123">
            <w:pPr>
              <w:rPr/>
            </w:pPr>
            <w:r w:rsidDel="00000000" w:rsidR="00000000" w:rsidRPr="00000000">
              <w:rPr>
                <w:rtl w:val="0"/>
              </w:rPr>
              <w:t xml:space="preserve">N</w:t>
            </w:r>
          </w:p>
        </w:tc>
        <w:tc>
          <w:tcPr>
            <w:vAlign w:val="center"/>
          </w:tcPr>
          <w:p w:rsidR="00000000" w:rsidDel="00000000" w:rsidP="00000000" w:rsidRDefault="00000000" w:rsidRPr="00000000" w14:paraId="00000124">
            <w:pPr>
              <w:rPr/>
            </w:pPr>
            <w:r w:rsidDel="00000000" w:rsidR="00000000" w:rsidRPr="00000000">
              <w:rPr>
                <w:rtl w:val="0"/>
              </w:rPr>
              <w:t xml:space="preserve">R²</w:t>
            </w:r>
          </w:p>
        </w:tc>
        <w:tc>
          <w:tcPr>
            <w:vAlign w:val="center"/>
          </w:tcPr>
          <w:p w:rsidR="00000000" w:rsidDel="00000000" w:rsidP="00000000" w:rsidRDefault="00000000" w:rsidRPr="00000000" w14:paraId="00000125">
            <w:pPr>
              <w:rPr/>
            </w:pPr>
            <w:r w:rsidDel="00000000" w:rsidR="00000000" w:rsidRPr="00000000">
              <w:rPr>
                <w:rtl w:val="0"/>
              </w:rPr>
              <w:t xml:space="preserve">Adj. R²</w:t>
            </w:r>
          </w:p>
        </w:tc>
      </w:tr>
      <w:tr>
        <w:trPr>
          <w:cantSplit w:val="0"/>
          <w:tblHeader w:val="0"/>
        </w:trPr>
        <w:tc>
          <w:tcPr>
            <w:vAlign w:val="center"/>
          </w:tcPr>
          <w:p w:rsidR="00000000" w:rsidDel="00000000" w:rsidP="00000000" w:rsidRDefault="00000000" w:rsidRPr="00000000" w14:paraId="00000126">
            <w:pPr>
              <w:rPr/>
            </w:pPr>
            <w:r w:rsidDel="00000000" w:rsidR="00000000" w:rsidRPr="00000000">
              <w:rPr>
                <w:rtl w:val="0"/>
              </w:rPr>
              <w:t xml:space="preserve">Ændring i træthed (gennemsnitlig FSS-score)</w:t>
            </w:r>
          </w:p>
        </w:tc>
        <w:tc>
          <w:tcPr>
            <w:vAlign w:val="center"/>
          </w:tcPr>
          <w:p w:rsidR="00000000" w:rsidDel="00000000" w:rsidP="00000000" w:rsidRDefault="00000000" w:rsidRPr="00000000" w14:paraId="00000127">
            <w:pPr>
              <w:rPr/>
            </w:pPr>
            <w:r w:rsidDel="00000000" w:rsidR="00000000" w:rsidRPr="00000000">
              <w:rPr>
                <w:rtl w:val="0"/>
              </w:rPr>
              <w:t xml:space="preserve">Hjernerystelse+Hjerneskade</w:t>
            </w:r>
          </w:p>
        </w:tc>
        <w:tc>
          <w:tcPr>
            <w:vAlign w:val="center"/>
          </w:tcPr>
          <w:p w:rsidR="00000000" w:rsidDel="00000000" w:rsidP="00000000" w:rsidRDefault="00000000" w:rsidRPr="00000000" w14:paraId="00000128">
            <w:pPr>
              <w:rPr/>
            </w:pPr>
            <w:r w:rsidDel="00000000" w:rsidR="00000000" w:rsidRPr="00000000">
              <w:rPr>
                <w:rtl w:val="0"/>
              </w:rPr>
              <w:t xml:space="preserve">74</w:t>
            </w:r>
          </w:p>
        </w:tc>
        <w:tc>
          <w:tcPr>
            <w:vAlign w:val="center"/>
          </w:tcPr>
          <w:p w:rsidR="00000000" w:rsidDel="00000000" w:rsidP="00000000" w:rsidRDefault="00000000" w:rsidRPr="00000000" w14:paraId="00000129">
            <w:pPr>
              <w:rPr/>
            </w:pPr>
            <w:r w:rsidDel="00000000" w:rsidR="00000000" w:rsidRPr="00000000">
              <w:rPr>
                <w:rtl w:val="0"/>
              </w:rPr>
              <w:t xml:space="preserve">0.227</w:t>
            </w:r>
          </w:p>
        </w:tc>
        <w:tc>
          <w:tcPr>
            <w:vAlign w:val="center"/>
          </w:tcPr>
          <w:p w:rsidR="00000000" w:rsidDel="00000000" w:rsidP="00000000" w:rsidRDefault="00000000" w:rsidRPr="00000000" w14:paraId="0000012A">
            <w:pPr>
              <w:rPr/>
            </w:pPr>
            <w:r w:rsidDel="00000000" w:rsidR="00000000" w:rsidRPr="00000000">
              <w:rPr>
                <w:rtl w:val="0"/>
              </w:rPr>
              <w:t xml:space="preserve">0.17</w:t>
            </w:r>
          </w:p>
        </w:tc>
      </w:tr>
      <w:tr>
        <w:trPr>
          <w:cantSplit w:val="0"/>
          <w:tblHeader w:val="0"/>
        </w:trPr>
        <w:tc>
          <w:tcPr>
            <w:vAlign w:val="center"/>
          </w:tcPr>
          <w:p w:rsidR="00000000" w:rsidDel="00000000" w:rsidP="00000000" w:rsidRDefault="00000000" w:rsidRPr="00000000" w14:paraId="0000012B">
            <w:pPr>
              <w:rPr/>
            </w:pPr>
            <w:r w:rsidDel="00000000" w:rsidR="00000000" w:rsidRPr="00000000">
              <w:rPr>
                <w:rtl w:val="0"/>
              </w:rPr>
              <w:t xml:space="preserve">Ændring i træthed (gennemsnitlig FSS-score)</w:t>
            </w:r>
          </w:p>
        </w:tc>
        <w:tc>
          <w:tcPr>
            <w:vAlign w:val="center"/>
          </w:tcPr>
          <w:p w:rsidR="00000000" w:rsidDel="00000000" w:rsidP="00000000" w:rsidRDefault="00000000" w:rsidRPr="00000000" w14:paraId="0000012C">
            <w:pPr>
              <w:rPr/>
            </w:pPr>
            <w:r w:rsidDel="00000000" w:rsidR="00000000" w:rsidRPr="00000000">
              <w:rPr>
                <w:rtl w:val="0"/>
              </w:rPr>
              <w:t xml:space="preserve">Hjernerystelse</w:t>
            </w:r>
          </w:p>
        </w:tc>
        <w:tc>
          <w:tcPr>
            <w:vAlign w:val="center"/>
          </w:tcPr>
          <w:p w:rsidR="00000000" w:rsidDel="00000000" w:rsidP="00000000" w:rsidRDefault="00000000" w:rsidRPr="00000000" w14:paraId="0000012D">
            <w:pPr>
              <w:rPr/>
            </w:pPr>
            <w:r w:rsidDel="00000000" w:rsidR="00000000" w:rsidRPr="00000000">
              <w:rPr>
                <w:rtl w:val="0"/>
              </w:rPr>
              <w:t xml:space="preserve">26</w:t>
            </w:r>
          </w:p>
        </w:tc>
        <w:tc>
          <w:tcPr>
            <w:vAlign w:val="center"/>
          </w:tcPr>
          <w:p w:rsidR="00000000" w:rsidDel="00000000" w:rsidP="00000000" w:rsidRDefault="00000000" w:rsidRPr="00000000" w14:paraId="0000012E">
            <w:pPr>
              <w:rPr/>
            </w:pPr>
            <w:r w:rsidDel="00000000" w:rsidR="00000000" w:rsidRPr="00000000">
              <w:rPr>
                <w:rtl w:val="0"/>
              </w:rPr>
              <w:t xml:space="preserve">0.125</w:t>
            </w:r>
          </w:p>
        </w:tc>
        <w:tc>
          <w:tcPr>
            <w:vAlign w:val="center"/>
          </w:tcPr>
          <w:p w:rsidR="00000000" w:rsidDel="00000000" w:rsidP="00000000" w:rsidRDefault="00000000" w:rsidRPr="00000000" w14:paraId="0000012F">
            <w:pPr>
              <w:rPr/>
            </w:pPr>
            <w:r w:rsidDel="00000000" w:rsidR="00000000" w:rsidRPr="00000000">
              <w:rPr>
                <w:rtl w:val="0"/>
              </w:rPr>
              <w:t xml:space="preserve">-0.042</w:t>
            </w:r>
          </w:p>
        </w:tc>
      </w:tr>
      <w:tr>
        <w:trPr>
          <w:cantSplit w:val="0"/>
          <w:tblHeader w:val="0"/>
        </w:trPr>
        <w:tc>
          <w:tcPr>
            <w:vAlign w:val="center"/>
          </w:tcPr>
          <w:p w:rsidR="00000000" w:rsidDel="00000000" w:rsidP="00000000" w:rsidRDefault="00000000" w:rsidRPr="00000000" w14:paraId="00000130">
            <w:pPr>
              <w:rPr/>
            </w:pPr>
            <w:r w:rsidDel="00000000" w:rsidR="00000000" w:rsidRPr="00000000">
              <w:rPr>
                <w:rtl w:val="0"/>
              </w:rPr>
              <w:t xml:space="preserve">Ændring i træthed (gennemsnitlig FSS-score)</w:t>
            </w:r>
          </w:p>
        </w:tc>
        <w:tc>
          <w:tcPr>
            <w:vAlign w:val="center"/>
          </w:tcPr>
          <w:p w:rsidR="00000000" w:rsidDel="00000000" w:rsidP="00000000" w:rsidRDefault="00000000" w:rsidRPr="00000000" w14:paraId="00000131">
            <w:pPr>
              <w:rPr/>
            </w:pPr>
            <w:r w:rsidDel="00000000" w:rsidR="00000000" w:rsidRPr="00000000">
              <w:rPr>
                <w:rtl w:val="0"/>
              </w:rPr>
              <w:t xml:space="preserve">Hjerneskade</w:t>
            </w:r>
          </w:p>
        </w:tc>
        <w:tc>
          <w:tcPr>
            <w:vAlign w:val="center"/>
          </w:tcPr>
          <w:p w:rsidR="00000000" w:rsidDel="00000000" w:rsidP="00000000" w:rsidRDefault="00000000" w:rsidRPr="00000000" w14:paraId="00000132">
            <w:pPr>
              <w:rPr/>
            </w:pPr>
            <w:r w:rsidDel="00000000" w:rsidR="00000000" w:rsidRPr="00000000">
              <w:rPr>
                <w:rtl w:val="0"/>
              </w:rPr>
              <w:t xml:space="preserve">48</w:t>
            </w:r>
          </w:p>
        </w:tc>
        <w:tc>
          <w:tcPr>
            <w:vAlign w:val="center"/>
          </w:tcPr>
          <w:p w:rsidR="00000000" w:rsidDel="00000000" w:rsidP="00000000" w:rsidRDefault="00000000" w:rsidRPr="00000000" w14:paraId="00000133">
            <w:pPr>
              <w:rPr/>
            </w:pPr>
            <w:r w:rsidDel="00000000" w:rsidR="00000000" w:rsidRPr="00000000">
              <w:rPr>
                <w:rtl w:val="0"/>
              </w:rPr>
              <w:t xml:space="preserve">0.38</w:t>
            </w:r>
          </w:p>
        </w:tc>
        <w:tc>
          <w:tcPr>
            <w:vAlign w:val="center"/>
          </w:tcPr>
          <w:p w:rsidR="00000000" w:rsidDel="00000000" w:rsidP="00000000" w:rsidRDefault="00000000" w:rsidRPr="00000000" w14:paraId="00000134">
            <w:pPr>
              <w:rPr/>
            </w:pPr>
            <w:r w:rsidDel="00000000" w:rsidR="00000000" w:rsidRPr="00000000">
              <w:rPr>
                <w:rtl w:val="0"/>
              </w:rPr>
              <w:t xml:space="preserve">0.322</w:t>
            </w:r>
          </w:p>
        </w:tc>
      </w:tr>
      <w:tr>
        <w:trPr>
          <w:cantSplit w:val="0"/>
          <w:tblHeader w:val="0"/>
        </w:trPr>
        <w:tc>
          <w:tcPr>
            <w:vAlign w:val="center"/>
          </w:tcPr>
          <w:p w:rsidR="00000000" w:rsidDel="00000000" w:rsidP="00000000" w:rsidRDefault="00000000" w:rsidRPr="00000000" w14:paraId="00000135">
            <w:pPr>
              <w:rPr/>
            </w:pPr>
            <w:r w:rsidDel="00000000" w:rsidR="00000000" w:rsidRPr="00000000">
              <w:rPr>
                <w:rtl w:val="0"/>
              </w:rPr>
              <w:t xml:space="preserve">Ændring i hovedpine (VAS 0–10)</w:t>
            </w:r>
          </w:p>
        </w:tc>
        <w:tc>
          <w:tcPr>
            <w:vAlign w:val="center"/>
          </w:tcPr>
          <w:p w:rsidR="00000000" w:rsidDel="00000000" w:rsidP="00000000" w:rsidRDefault="00000000" w:rsidRPr="00000000" w14:paraId="00000136">
            <w:pPr>
              <w:rPr/>
            </w:pPr>
            <w:r w:rsidDel="00000000" w:rsidR="00000000" w:rsidRPr="00000000">
              <w:rPr>
                <w:rtl w:val="0"/>
              </w:rPr>
              <w:t xml:space="preserve">Hjernerystelse (VAS udfyldt)</w:t>
            </w:r>
          </w:p>
        </w:tc>
        <w:tc>
          <w:tcPr>
            <w:vAlign w:val="center"/>
          </w:tcPr>
          <w:p w:rsidR="00000000" w:rsidDel="00000000" w:rsidP="00000000" w:rsidRDefault="00000000" w:rsidRPr="00000000" w14:paraId="00000137">
            <w:pPr>
              <w:rPr/>
            </w:pPr>
            <w:r w:rsidDel="00000000" w:rsidR="00000000" w:rsidRPr="00000000">
              <w:rPr>
                <w:rtl w:val="0"/>
              </w:rPr>
              <w:t xml:space="preserve">26</w:t>
            </w:r>
          </w:p>
        </w:tc>
        <w:tc>
          <w:tcPr>
            <w:vAlign w:val="center"/>
          </w:tcPr>
          <w:p w:rsidR="00000000" w:rsidDel="00000000" w:rsidP="00000000" w:rsidRDefault="00000000" w:rsidRPr="00000000" w14:paraId="00000138">
            <w:pPr>
              <w:rPr/>
            </w:pPr>
            <w:r w:rsidDel="00000000" w:rsidR="00000000" w:rsidRPr="00000000">
              <w:rPr>
                <w:rtl w:val="0"/>
              </w:rPr>
              <w:t xml:space="preserve">0.424</w:t>
            </w:r>
          </w:p>
        </w:tc>
        <w:tc>
          <w:tcPr>
            <w:vAlign w:val="center"/>
          </w:tcPr>
          <w:p w:rsidR="00000000" w:rsidDel="00000000" w:rsidP="00000000" w:rsidRDefault="00000000" w:rsidRPr="00000000" w14:paraId="00000139">
            <w:pPr>
              <w:rPr/>
            </w:pPr>
            <w:r w:rsidDel="00000000" w:rsidR="00000000" w:rsidRPr="00000000">
              <w:rPr>
                <w:rtl w:val="0"/>
              </w:rPr>
              <w:t xml:space="preserve">0.315</w:t>
            </w:r>
          </w:p>
        </w:tc>
      </w:tr>
      <w:tr>
        <w:trPr>
          <w:cantSplit w:val="0"/>
          <w:tblHeader w:val="0"/>
        </w:trPr>
        <w:tc>
          <w:tcPr>
            <w:vAlign w:val="center"/>
          </w:tcPr>
          <w:p w:rsidR="00000000" w:rsidDel="00000000" w:rsidP="00000000" w:rsidRDefault="00000000" w:rsidRPr="00000000" w14:paraId="0000013A">
            <w:pPr>
              <w:rPr/>
            </w:pPr>
            <w:r w:rsidDel="00000000" w:rsidR="00000000" w:rsidRPr="00000000">
              <w:rPr>
                <w:rtl w:val="0"/>
              </w:rPr>
              <w:t xml:space="preserve">RT % forbedring</w:t>
            </w:r>
          </w:p>
        </w:tc>
        <w:tc>
          <w:tcPr>
            <w:vAlign w:val="center"/>
          </w:tcPr>
          <w:p w:rsidR="00000000" w:rsidDel="00000000" w:rsidP="00000000" w:rsidRDefault="00000000" w:rsidRPr="00000000" w14:paraId="0000013B">
            <w:pPr>
              <w:rPr/>
            </w:pPr>
            <w:r w:rsidDel="00000000" w:rsidR="00000000" w:rsidRPr="00000000">
              <w:rPr>
                <w:rtl w:val="0"/>
              </w:rPr>
              <w:t xml:space="preserve">Hjernerystelse+Hjerneskade (evaluable)</w:t>
            </w:r>
          </w:p>
        </w:tc>
        <w:tc>
          <w:tcPr>
            <w:vAlign w:val="center"/>
          </w:tcPr>
          <w:p w:rsidR="00000000" w:rsidDel="00000000" w:rsidP="00000000" w:rsidRDefault="00000000" w:rsidRPr="00000000" w14:paraId="0000013C">
            <w:pPr>
              <w:rPr/>
            </w:pPr>
            <w:r w:rsidDel="00000000" w:rsidR="00000000" w:rsidRPr="00000000">
              <w:rPr>
                <w:rtl w:val="0"/>
              </w:rPr>
              <w:t xml:space="preserve">43</w:t>
            </w:r>
          </w:p>
        </w:tc>
        <w:tc>
          <w:tcPr>
            <w:vAlign w:val="center"/>
          </w:tcPr>
          <w:p w:rsidR="00000000" w:rsidDel="00000000" w:rsidP="00000000" w:rsidRDefault="00000000" w:rsidRPr="00000000" w14:paraId="0000013D">
            <w:pPr>
              <w:rPr/>
            </w:pPr>
            <w:r w:rsidDel="00000000" w:rsidR="00000000" w:rsidRPr="00000000">
              <w:rPr>
                <w:rtl w:val="0"/>
              </w:rPr>
              <w:t xml:space="preserve">0.092</w:t>
            </w:r>
          </w:p>
        </w:tc>
        <w:tc>
          <w:tcPr>
            <w:vAlign w:val="center"/>
          </w:tcPr>
          <w:p w:rsidR="00000000" w:rsidDel="00000000" w:rsidP="00000000" w:rsidRDefault="00000000" w:rsidRPr="00000000" w14:paraId="0000013E">
            <w:pPr>
              <w:rPr/>
            </w:pPr>
            <w:r w:rsidDel="00000000" w:rsidR="00000000" w:rsidRPr="00000000">
              <w:rPr>
                <w:rtl w:val="0"/>
              </w:rPr>
              <w:t xml:space="preserve">-0.003</w:t>
            </w:r>
          </w:p>
        </w:tc>
      </w:tr>
    </w:tbl>
    <w:p w:rsidR="00000000" w:rsidDel="00000000" w:rsidP="00000000" w:rsidRDefault="00000000" w:rsidRPr="00000000" w14:paraId="0000013F">
      <w:pPr>
        <w:rPr>
          <w:b w:val="1"/>
          <w:bCs w:val="1"/>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Tabel R2. Træthed (ændring i gennemsnitlig Modified FSS-score): regressionskoefficienter (OLS HC3).</w:t>
      </w:r>
    </w:p>
    <w:tbl>
      <w:tblPr>
        <w:tblStyle w:val="Table8"/>
        <w:tblW w:w="8629.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4"/>
        <w:gridCol w:w="1411"/>
        <w:gridCol w:w="1420"/>
        <w:gridCol w:w="1418"/>
        <w:gridCol w:w="1413"/>
        <w:gridCol w:w="1414"/>
        <w:tblGridChange w:id="0">
          <w:tblGrid>
            <w:gridCol w:w="1554"/>
            <w:gridCol w:w="1411"/>
            <w:gridCol w:w="1420"/>
            <w:gridCol w:w="1418"/>
            <w:gridCol w:w="1413"/>
            <w:gridCol w:w="1414"/>
          </w:tblGrid>
        </w:tblGridChange>
      </w:tblGrid>
      <w:tr>
        <w:trPr>
          <w:cantSplit w:val="0"/>
          <w:tblHeader w:val="1"/>
        </w:trPr>
        <w:tc>
          <w:tcPr>
            <w:vAlign w:val="center"/>
          </w:tcPr>
          <w:p w:rsidR="00000000" w:rsidDel="00000000" w:rsidP="00000000" w:rsidRDefault="00000000" w:rsidRPr="00000000" w14:paraId="00000141">
            <w:pPr>
              <w:rPr/>
            </w:pPr>
            <w:r w:rsidDel="00000000" w:rsidR="00000000" w:rsidRPr="00000000">
              <w:rPr>
                <w:rtl w:val="0"/>
              </w:rPr>
              <w:t xml:space="preserve">Variabel</w:t>
            </w:r>
          </w:p>
        </w:tc>
        <w:tc>
          <w:tcPr>
            <w:vAlign w:val="center"/>
          </w:tcPr>
          <w:p w:rsidR="00000000" w:rsidDel="00000000" w:rsidP="00000000" w:rsidRDefault="00000000" w:rsidRPr="00000000" w14:paraId="00000142">
            <w:pPr>
              <w:rPr/>
            </w:pPr>
            <w:r w:rsidDel="00000000" w:rsidR="00000000" w:rsidRPr="00000000">
              <w:rPr>
                <w:rtl w:val="0"/>
              </w:rPr>
              <w:t xml:space="preserve">β</w:t>
            </w:r>
          </w:p>
        </w:tc>
        <w:tc>
          <w:tcPr>
            <w:vAlign w:val="center"/>
          </w:tcPr>
          <w:p w:rsidR="00000000" w:rsidDel="00000000" w:rsidP="00000000" w:rsidRDefault="00000000" w:rsidRPr="00000000" w14:paraId="00000143">
            <w:pPr>
              <w:rPr/>
            </w:pPr>
            <w:r w:rsidDel="00000000" w:rsidR="00000000" w:rsidRPr="00000000">
              <w:rPr>
                <w:rtl w:val="0"/>
              </w:rPr>
              <w:t xml:space="preserve">SE (robust)</w:t>
            </w:r>
          </w:p>
        </w:tc>
        <w:tc>
          <w:tcPr>
            <w:vAlign w:val="center"/>
          </w:tcPr>
          <w:p w:rsidR="00000000" w:rsidDel="00000000" w:rsidP="00000000" w:rsidRDefault="00000000" w:rsidRPr="00000000" w14:paraId="00000144">
            <w:pPr>
              <w:rPr/>
            </w:pPr>
            <w:r w:rsidDel="00000000" w:rsidR="00000000" w:rsidRPr="00000000">
              <w:rPr>
                <w:rtl w:val="0"/>
              </w:rPr>
              <w:t xml:space="preserve">95 % KI (nedre)</w:t>
            </w:r>
          </w:p>
        </w:tc>
        <w:tc>
          <w:tcPr>
            <w:vAlign w:val="center"/>
          </w:tcPr>
          <w:p w:rsidR="00000000" w:rsidDel="00000000" w:rsidP="00000000" w:rsidRDefault="00000000" w:rsidRPr="00000000" w14:paraId="00000145">
            <w:pPr>
              <w:rPr/>
            </w:pPr>
            <w:r w:rsidDel="00000000" w:rsidR="00000000" w:rsidRPr="00000000">
              <w:rPr>
                <w:rtl w:val="0"/>
              </w:rPr>
              <w:t xml:space="preserve">95 % KI (øvre)</w:t>
            </w:r>
          </w:p>
        </w:tc>
        <w:tc>
          <w:tcPr>
            <w:vAlign w:val="center"/>
          </w:tcPr>
          <w:p w:rsidR="00000000" w:rsidDel="00000000" w:rsidP="00000000" w:rsidRDefault="00000000" w:rsidRPr="00000000" w14:paraId="00000146">
            <w:pPr>
              <w:rPr/>
            </w:pPr>
            <w:r w:rsidDel="00000000" w:rsidR="00000000" w:rsidRPr="00000000">
              <w:rPr>
                <w:rtl w:val="0"/>
              </w:rPr>
              <w:t xml:space="preserve">p</w:t>
            </w:r>
          </w:p>
        </w:tc>
      </w:tr>
      <w:tr>
        <w:trPr>
          <w:cantSplit w:val="0"/>
          <w:tblHeader w:val="0"/>
        </w:trPr>
        <w:tc>
          <w:tcPr>
            <w:vAlign w:val="center"/>
          </w:tcPr>
          <w:p w:rsidR="00000000" w:rsidDel="00000000" w:rsidP="00000000" w:rsidRDefault="00000000" w:rsidRPr="00000000" w14:paraId="00000147">
            <w:pPr>
              <w:rPr/>
            </w:pPr>
            <w:r w:rsidDel="00000000" w:rsidR="00000000" w:rsidRPr="00000000">
              <w:rPr>
                <w:rtl w:val="0"/>
              </w:rPr>
              <w:t xml:space="preserve">Konstant</w:t>
            </w:r>
          </w:p>
        </w:tc>
        <w:tc>
          <w:tcPr>
            <w:vAlign w:val="center"/>
          </w:tcPr>
          <w:p w:rsidR="00000000" w:rsidDel="00000000" w:rsidP="00000000" w:rsidRDefault="00000000" w:rsidRPr="00000000" w14:paraId="00000148">
            <w:pPr>
              <w:rPr/>
            </w:pPr>
            <w:r w:rsidDel="00000000" w:rsidR="00000000" w:rsidRPr="00000000">
              <w:rPr>
                <w:rtl w:val="0"/>
              </w:rPr>
              <w:t xml:space="preserve">-0.796</w:t>
            </w:r>
          </w:p>
        </w:tc>
        <w:tc>
          <w:tcPr>
            <w:vAlign w:val="center"/>
          </w:tcPr>
          <w:p w:rsidR="00000000" w:rsidDel="00000000" w:rsidP="00000000" w:rsidRDefault="00000000" w:rsidRPr="00000000" w14:paraId="00000149">
            <w:pPr>
              <w:rPr/>
            </w:pPr>
            <w:r w:rsidDel="00000000" w:rsidR="00000000" w:rsidRPr="00000000">
              <w:rPr>
                <w:rtl w:val="0"/>
              </w:rPr>
              <w:t xml:space="preserve">0.961</w:t>
            </w:r>
          </w:p>
        </w:tc>
        <w:tc>
          <w:tcPr>
            <w:vAlign w:val="center"/>
          </w:tcPr>
          <w:p w:rsidR="00000000" w:rsidDel="00000000" w:rsidP="00000000" w:rsidRDefault="00000000" w:rsidRPr="00000000" w14:paraId="0000014A">
            <w:pPr>
              <w:rPr/>
            </w:pPr>
            <w:r w:rsidDel="00000000" w:rsidR="00000000" w:rsidRPr="00000000">
              <w:rPr>
                <w:rtl w:val="0"/>
              </w:rPr>
              <w:t xml:space="preserve">-2.679</w:t>
            </w:r>
          </w:p>
        </w:tc>
        <w:tc>
          <w:tcPr>
            <w:vAlign w:val="center"/>
          </w:tcPr>
          <w:p w:rsidR="00000000" w:rsidDel="00000000" w:rsidP="00000000" w:rsidRDefault="00000000" w:rsidRPr="00000000" w14:paraId="0000014B">
            <w:pPr>
              <w:rPr/>
            </w:pPr>
            <w:r w:rsidDel="00000000" w:rsidR="00000000" w:rsidRPr="00000000">
              <w:rPr>
                <w:rtl w:val="0"/>
              </w:rPr>
              <w:t xml:space="preserve">1.087</w:t>
            </w:r>
          </w:p>
        </w:tc>
        <w:tc>
          <w:tcPr>
            <w:vAlign w:val="center"/>
          </w:tcPr>
          <w:p w:rsidR="00000000" w:rsidDel="00000000" w:rsidP="00000000" w:rsidRDefault="00000000" w:rsidRPr="00000000" w14:paraId="0000014C">
            <w:pPr>
              <w:rPr/>
            </w:pPr>
            <w:r w:rsidDel="00000000" w:rsidR="00000000" w:rsidRPr="00000000">
              <w:rPr>
                <w:rtl w:val="0"/>
              </w:rPr>
              <w:t xml:space="preserve">0.407</w:t>
            </w:r>
          </w:p>
        </w:tc>
      </w:tr>
      <w:tr>
        <w:trPr>
          <w:cantSplit w:val="0"/>
          <w:tblHeader w:val="0"/>
        </w:trPr>
        <w:tc>
          <w:tcPr>
            <w:vAlign w:val="center"/>
          </w:tcPr>
          <w:p w:rsidR="00000000" w:rsidDel="00000000" w:rsidP="00000000" w:rsidRDefault="00000000" w:rsidRPr="00000000" w14:paraId="0000014D">
            <w:pPr>
              <w:rPr/>
            </w:pPr>
            <w:r w:rsidDel="00000000" w:rsidR="00000000" w:rsidRPr="00000000">
              <w:rPr>
                <w:rtl w:val="0"/>
              </w:rPr>
              <w:t xml:space="preserve">Kohorte: Hjerneskade (vs hjernerystelse)</w:t>
            </w:r>
          </w:p>
        </w:tc>
        <w:tc>
          <w:tcPr>
            <w:vAlign w:val="center"/>
          </w:tcPr>
          <w:p w:rsidR="00000000" w:rsidDel="00000000" w:rsidP="00000000" w:rsidRDefault="00000000" w:rsidRPr="00000000" w14:paraId="0000014E">
            <w:pPr>
              <w:rPr/>
            </w:pPr>
            <w:r w:rsidDel="00000000" w:rsidR="00000000" w:rsidRPr="00000000">
              <w:rPr>
                <w:rtl w:val="0"/>
              </w:rPr>
              <w:t xml:space="preserve">0.238</w:t>
            </w:r>
          </w:p>
        </w:tc>
        <w:tc>
          <w:tcPr>
            <w:vAlign w:val="center"/>
          </w:tcPr>
          <w:p w:rsidR="00000000" w:rsidDel="00000000" w:rsidP="00000000" w:rsidRDefault="00000000" w:rsidRPr="00000000" w14:paraId="0000014F">
            <w:pPr>
              <w:rPr/>
            </w:pPr>
            <w:r w:rsidDel="00000000" w:rsidR="00000000" w:rsidRPr="00000000">
              <w:rPr>
                <w:rtl w:val="0"/>
              </w:rPr>
              <w:t xml:space="preserve">0.271</w:t>
            </w:r>
          </w:p>
        </w:tc>
        <w:tc>
          <w:tcPr>
            <w:vAlign w:val="center"/>
          </w:tcPr>
          <w:p w:rsidR="00000000" w:rsidDel="00000000" w:rsidP="00000000" w:rsidRDefault="00000000" w:rsidRPr="00000000" w14:paraId="00000150">
            <w:pPr>
              <w:rPr/>
            </w:pPr>
            <w:r w:rsidDel="00000000" w:rsidR="00000000" w:rsidRPr="00000000">
              <w:rPr>
                <w:rtl w:val="0"/>
              </w:rPr>
              <w:t xml:space="preserve">-0.292</w:t>
            </w:r>
          </w:p>
        </w:tc>
        <w:tc>
          <w:tcPr>
            <w:vAlign w:val="center"/>
          </w:tcPr>
          <w:p w:rsidR="00000000" w:rsidDel="00000000" w:rsidP="00000000" w:rsidRDefault="00000000" w:rsidRPr="00000000" w14:paraId="00000151">
            <w:pPr>
              <w:rPr/>
            </w:pPr>
            <w:r w:rsidDel="00000000" w:rsidR="00000000" w:rsidRPr="00000000">
              <w:rPr>
                <w:rtl w:val="0"/>
              </w:rPr>
              <w:t xml:space="preserve">0.769</w:t>
            </w:r>
          </w:p>
        </w:tc>
        <w:tc>
          <w:tcPr>
            <w:vAlign w:val="center"/>
          </w:tcPr>
          <w:p w:rsidR="00000000" w:rsidDel="00000000" w:rsidP="00000000" w:rsidRDefault="00000000" w:rsidRPr="00000000" w14:paraId="00000152">
            <w:pPr>
              <w:rPr/>
            </w:pPr>
            <w:r w:rsidDel="00000000" w:rsidR="00000000" w:rsidRPr="00000000">
              <w:rPr>
                <w:rtl w:val="0"/>
              </w:rPr>
              <w:t xml:space="preserve">0.379</w:t>
            </w:r>
          </w:p>
        </w:tc>
      </w:tr>
      <w:tr>
        <w:trPr>
          <w:cantSplit w:val="0"/>
          <w:tblHeader w:val="0"/>
        </w:trPr>
        <w:tc>
          <w:tcPr>
            <w:vAlign w:val="center"/>
          </w:tcPr>
          <w:p w:rsidR="00000000" w:rsidDel="00000000" w:rsidP="00000000" w:rsidRDefault="00000000" w:rsidRPr="00000000" w14:paraId="00000153">
            <w:pPr>
              <w:rPr/>
            </w:pPr>
            <w:r w:rsidDel="00000000" w:rsidR="00000000" w:rsidRPr="00000000">
              <w:rPr>
                <w:rtl w:val="0"/>
              </w:rPr>
              <w:t xml:space="preserve">Træthed før behandling (gennemsnitlig FSS-score)</w:t>
            </w:r>
          </w:p>
        </w:tc>
        <w:tc>
          <w:tcPr>
            <w:vAlign w:val="center"/>
          </w:tcPr>
          <w:p w:rsidR="00000000" w:rsidDel="00000000" w:rsidP="00000000" w:rsidRDefault="00000000" w:rsidRPr="00000000" w14:paraId="00000154">
            <w:pPr>
              <w:rPr/>
            </w:pPr>
            <w:r w:rsidDel="00000000" w:rsidR="00000000" w:rsidRPr="00000000">
              <w:rPr>
                <w:rtl w:val="0"/>
              </w:rPr>
              <w:t xml:space="preserve">0.478</w:t>
            </w:r>
          </w:p>
        </w:tc>
        <w:tc>
          <w:tcPr>
            <w:vAlign w:val="center"/>
          </w:tcPr>
          <w:p w:rsidR="00000000" w:rsidDel="00000000" w:rsidP="00000000" w:rsidRDefault="00000000" w:rsidRPr="00000000" w14:paraId="00000155">
            <w:pPr>
              <w:rPr/>
            </w:pPr>
            <w:r w:rsidDel="00000000" w:rsidR="00000000" w:rsidRPr="00000000">
              <w:rPr>
                <w:rtl w:val="0"/>
              </w:rPr>
              <w:t xml:space="preserve">0.121</w:t>
            </w:r>
          </w:p>
        </w:tc>
        <w:tc>
          <w:tcPr>
            <w:vAlign w:val="center"/>
          </w:tcPr>
          <w:p w:rsidR="00000000" w:rsidDel="00000000" w:rsidP="00000000" w:rsidRDefault="00000000" w:rsidRPr="00000000" w14:paraId="00000156">
            <w:pPr>
              <w:rPr/>
            </w:pPr>
            <w:r w:rsidDel="00000000" w:rsidR="00000000" w:rsidRPr="00000000">
              <w:rPr>
                <w:rtl w:val="0"/>
              </w:rPr>
              <w:t xml:space="preserve">0.241</w:t>
            </w:r>
          </w:p>
        </w:tc>
        <w:tc>
          <w:tcPr>
            <w:vAlign w:val="center"/>
          </w:tcPr>
          <w:p w:rsidR="00000000" w:rsidDel="00000000" w:rsidP="00000000" w:rsidRDefault="00000000" w:rsidRPr="00000000" w14:paraId="00000157">
            <w:pPr>
              <w:rPr/>
            </w:pPr>
            <w:r w:rsidDel="00000000" w:rsidR="00000000" w:rsidRPr="00000000">
              <w:rPr>
                <w:rtl w:val="0"/>
              </w:rPr>
              <w:t xml:space="preserve">0.714</w:t>
            </w:r>
          </w:p>
        </w:tc>
        <w:tc>
          <w:tcPr>
            <w:vAlign w:val="center"/>
          </w:tcPr>
          <w:p w:rsidR="00000000" w:rsidDel="00000000" w:rsidP="00000000" w:rsidRDefault="00000000" w:rsidRPr="00000000" w14:paraId="00000158">
            <w:pPr>
              <w:rPr/>
            </w:pPr>
            <w:r w:rsidDel="00000000" w:rsidR="00000000" w:rsidRPr="00000000">
              <w:rPr>
                <w:rtl w:val="0"/>
              </w:rPr>
              <w:t xml:space="preserve">7.50e-05</w:t>
            </w:r>
          </w:p>
        </w:tc>
      </w:tr>
      <w:tr>
        <w:trPr>
          <w:cantSplit w:val="0"/>
          <w:tblHeader w:val="0"/>
        </w:trPr>
        <w:tc>
          <w:tcPr>
            <w:vAlign w:val="center"/>
          </w:tcPr>
          <w:p w:rsidR="00000000" w:rsidDel="00000000" w:rsidP="00000000" w:rsidRDefault="00000000" w:rsidRPr="00000000" w14:paraId="00000159">
            <w:pPr>
              <w:rPr/>
            </w:pPr>
            <w:r w:rsidDel="00000000" w:rsidR="00000000" w:rsidRPr="00000000">
              <w:rPr>
                <w:rtl w:val="0"/>
              </w:rPr>
              <w:t xml:space="preserve">Alder (år)</w:t>
            </w:r>
          </w:p>
        </w:tc>
        <w:tc>
          <w:tcPr>
            <w:vAlign w:val="center"/>
          </w:tcPr>
          <w:p w:rsidR="00000000" w:rsidDel="00000000" w:rsidP="00000000" w:rsidRDefault="00000000" w:rsidRPr="00000000" w14:paraId="0000015A">
            <w:pPr>
              <w:rPr/>
            </w:pPr>
            <w:r w:rsidDel="00000000" w:rsidR="00000000" w:rsidRPr="00000000">
              <w:rPr>
                <w:rtl w:val="0"/>
              </w:rPr>
              <w:t xml:space="preserve">-0.006</w:t>
            </w:r>
          </w:p>
        </w:tc>
        <w:tc>
          <w:tcPr>
            <w:vAlign w:val="center"/>
          </w:tcPr>
          <w:p w:rsidR="00000000" w:rsidDel="00000000" w:rsidP="00000000" w:rsidRDefault="00000000" w:rsidRPr="00000000" w14:paraId="0000015B">
            <w:pPr>
              <w:rPr/>
            </w:pPr>
            <w:r w:rsidDel="00000000" w:rsidR="00000000" w:rsidRPr="00000000">
              <w:rPr>
                <w:rtl w:val="0"/>
              </w:rPr>
              <w:t xml:space="preserve">0.007</w:t>
            </w:r>
          </w:p>
        </w:tc>
        <w:tc>
          <w:tcPr>
            <w:vAlign w:val="center"/>
          </w:tcPr>
          <w:p w:rsidR="00000000" w:rsidDel="00000000" w:rsidP="00000000" w:rsidRDefault="00000000" w:rsidRPr="00000000" w14:paraId="0000015C">
            <w:pPr>
              <w:rPr/>
            </w:pPr>
            <w:r w:rsidDel="00000000" w:rsidR="00000000" w:rsidRPr="00000000">
              <w:rPr>
                <w:rtl w:val="0"/>
              </w:rPr>
              <w:t xml:space="preserve">-0.02</w:t>
            </w:r>
          </w:p>
        </w:tc>
        <w:tc>
          <w:tcPr>
            <w:vAlign w:val="center"/>
          </w:tcPr>
          <w:p w:rsidR="00000000" w:rsidDel="00000000" w:rsidP="00000000" w:rsidRDefault="00000000" w:rsidRPr="00000000" w14:paraId="0000015D">
            <w:pPr>
              <w:rPr/>
            </w:pPr>
            <w:r w:rsidDel="00000000" w:rsidR="00000000" w:rsidRPr="00000000">
              <w:rPr>
                <w:rtl w:val="0"/>
              </w:rPr>
              <w:t xml:space="preserve">0.007</w:t>
            </w:r>
          </w:p>
        </w:tc>
        <w:tc>
          <w:tcPr>
            <w:vAlign w:val="center"/>
          </w:tcPr>
          <w:p w:rsidR="00000000" w:rsidDel="00000000" w:rsidP="00000000" w:rsidRDefault="00000000" w:rsidRPr="00000000" w14:paraId="0000015E">
            <w:pPr>
              <w:rPr/>
            </w:pPr>
            <w:r w:rsidDel="00000000" w:rsidR="00000000" w:rsidRPr="00000000">
              <w:rPr>
                <w:rtl w:val="0"/>
              </w:rPr>
              <w:t xml:space="preserve">0.350</w:t>
            </w:r>
          </w:p>
        </w:tc>
      </w:tr>
      <w:tr>
        <w:trPr>
          <w:cantSplit w:val="0"/>
          <w:tblHeader w:val="0"/>
        </w:trPr>
        <w:tc>
          <w:tcPr>
            <w:vAlign w:val="center"/>
          </w:tcPr>
          <w:p w:rsidR="00000000" w:rsidDel="00000000" w:rsidP="00000000" w:rsidRDefault="00000000" w:rsidRPr="00000000" w14:paraId="0000015F">
            <w:pPr>
              <w:rPr/>
            </w:pPr>
            <w:r w:rsidDel="00000000" w:rsidR="00000000" w:rsidRPr="00000000">
              <w:rPr>
                <w:rtl w:val="0"/>
              </w:rPr>
              <w:t xml:space="preserve">Køn: Mand (vs kvinde)</w:t>
            </w:r>
          </w:p>
        </w:tc>
        <w:tc>
          <w:tcPr>
            <w:vAlign w:val="center"/>
          </w:tcPr>
          <w:p w:rsidR="00000000" w:rsidDel="00000000" w:rsidP="00000000" w:rsidRDefault="00000000" w:rsidRPr="00000000" w14:paraId="00000160">
            <w:pPr>
              <w:rPr/>
            </w:pPr>
            <w:r w:rsidDel="00000000" w:rsidR="00000000" w:rsidRPr="00000000">
              <w:rPr>
                <w:rtl w:val="0"/>
              </w:rPr>
              <w:t xml:space="preserve">0.176</w:t>
            </w:r>
          </w:p>
        </w:tc>
        <w:tc>
          <w:tcPr>
            <w:vAlign w:val="center"/>
          </w:tcPr>
          <w:p w:rsidR="00000000" w:rsidDel="00000000" w:rsidP="00000000" w:rsidRDefault="00000000" w:rsidRPr="00000000" w14:paraId="00000161">
            <w:pPr>
              <w:rPr/>
            </w:pPr>
            <w:r w:rsidDel="00000000" w:rsidR="00000000" w:rsidRPr="00000000">
              <w:rPr>
                <w:rtl w:val="0"/>
              </w:rPr>
              <w:t xml:space="preserve">0.197</w:t>
            </w:r>
          </w:p>
        </w:tc>
        <w:tc>
          <w:tcPr>
            <w:vAlign w:val="center"/>
          </w:tcPr>
          <w:p w:rsidR="00000000" w:rsidDel="00000000" w:rsidP="00000000" w:rsidRDefault="00000000" w:rsidRPr="00000000" w14:paraId="00000162">
            <w:pPr>
              <w:rPr/>
            </w:pPr>
            <w:r w:rsidDel="00000000" w:rsidR="00000000" w:rsidRPr="00000000">
              <w:rPr>
                <w:rtl w:val="0"/>
              </w:rPr>
              <w:t xml:space="preserve">-0.21</w:t>
            </w:r>
          </w:p>
        </w:tc>
        <w:tc>
          <w:tcPr>
            <w:vAlign w:val="center"/>
          </w:tcPr>
          <w:p w:rsidR="00000000" w:rsidDel="00000000" w:rsidP="00000000" w:rsidRDefault="00000000" w:rsidRPr="00000000" w14:paraId="00000163">
            <w:pPr>
              <w:rPr/>
            </w:pPr>
            <w:r w:rsidDel="00000000" w:rsidR="00000000" w:rsidRPr="00000000">
              <w:rPr>
                <w:rtl w:val="0"/>
              </w:rPr>
              <w:t xml:space="preserve">0.562</w:t>
            </w:r>
          </w:p>
        </w:tc>
        <w:tc>
          <w:tcPr>
            <w:vAlign w:val="center"/>
          </w:tcPr>
          <w:p w:rsidR="00000000" w:rsidDel="00000000" w:rsidP="00000000" w:rsidRDefault="00000000" w:rsidRPr="00000000" w14:paraId="00000164">
            <w:pPr>
              <w:rPr/>
            </w:pPr>
            <w:r w:rsidDel="00000000" w:rsidR="00000000" w:rsidRPr="00000000">
              <w:rPr>
                <w:rtl w:val="0"/>
              </w:rPr>
              <w:t xml:space="preserve">0.371</w:t>
            </w:r>
          </w:p>
        </w:tc>
      </w:tr>
      <w:tr>
        <w:trPr>
          <w:cantSplit w:val="0"/>
          <w:tblHeader w:val="0"/>
        </w:trPr>
        <w:tc>
          <w:tcPr>
            <w:vAlign w:val="center"/>
          </w:tcPr>
          <w:p w:rsidR="00000000" w:rsidDel="00000000" w:rsidP="00000000" w:rsidRDefault="00000000" w:rsidRPr="00000000" w14:paraId="00000165">
            <w:pPr>
              <w:rPr/>
            </w:pPr>
            <w:r w:rsidDel="00000000" w:rsidR="00000000" w:rsidRPr="00000000">
              <w:rPr>
                <w:rtl w:val="0"/>
              </w:rPr>
              <w:t xml:space="preserve">log(tid siden skade + 1)</w:t>
            </w:r>
          </w:p>
        </w:tc>
        <w:tc>
          <w:tcPr>
            <w:vAlign w:val="center"/>
          </w:tcPr>
          <w:p w:rsidR="00000000" w:rsidDel="00000000" w:rsidP="00000000" w:rsidRDefault="00000000" w:rsidRPr="00000000" w14:paraId="00000166">
            <w:pPr>
              <w:rPr/>
            </w:pPr>
            <w:r w:rsidDel="00000000" w:rsidR="00000000" w:rsidRPr="00000000">
              <w:rPr>
                <w:rtl w:val="0"/>
              </w:rPr>
              <w:t xml:space="preserve">0.084</w:t>
            </w:r>
          </w:p>
        </w:tc>
        <w:tc>
          <w:tcPr>
            <w:vAlign w:val="center"/>
          </w:tcPr>
          <w:p w:rsidR="00000000" w:rsidDel="00000000" w:rsidP="00000000" w:rsidRDefault="00000000" w:rsidRPr="00000000" w14:paraId="00000167">
            <w:pPr>
              <w:rPr/>
            </w:pPr>
            <w:r w:rsidDel="00000000" w:rsidR="00000000" w:rsidRPr="00000000">
              <w:rPr>
                <w:rtl w:val="0"/>
              </w:rPr>
              <w:t xml:space="preserve">0.109</w:t>
            </w:r>
          </w:p>
        </w:tc>
        <w:tc>
          <w:tcPr>
            <w:vAlign w:val="center"/>
          </w:tcPr>
          <w:p w:rsidR="00000000" w:rsidDel="00000000" w:rsidP="00000000" w:rsidRDefault="00000000" w:rsidRPr="00000000" w14:paraId="00000168">
            <w:pPr>
              <w:rPr/>
            </w:pPr>
            <w:r w:rsidDel="00000000" w:rsidR="00000000" w:rsidRPr="00000000">
              <w:rPr>
                <w:rtl w:val="0"/>
              </w:rPr>
              <w:t xml:space="preserve">-0.131</w:t>
            </w:r>
          </w:p>
        </w:tc>
        <w:tc>
          <w:tcPr>
            <w:vAlign w:val="center"/>
          </w:tcPr>
          <w:p w:rsidR="00000000" w:rsidDel="00000000" w:rsidP="00000000" w:rsidRDefault="00000000" w:rsidRPr="00000000" w14:paraId="00000169">
            <w:pPr>
              <w:rPr/>
            </w:pPr>
            <w:r w:rsidDel="00000000" w:rsidR="00000000" w:rsidRPr="00000000">
              <w:rPr>
                <w:rtl w:val="0"/>
              </w:rPr>
              <w:t xml:space="preserve">0.298</w:t>
            </w:r>
          </w:p>
        </w:tc>
        <w:tc>
          <w:tcPr>
            <w:vAlign w:val="center"/>
          </w:tcPr>
          <w:p w:rsidR="00000000" w:rsidDel="00000000" w:rsidP="00000000" w:rsidRDefault="00000000" w:rsidRPr="00000000" w14:paraId="0000016A">
            <w:pPr>
              <w:rPr/>
            </w:pPr>
            <w:r w:rsidDel="00000000" w:rsidR="00000000" w:rsidRPr="00000000">
              <w:rPr>
                <w:rtl w:val="0"/>
              </w:rPr>
              <w:t xml:space="preserve">0.445</w:t>
            </w:r>
          </w:p>
        </w:tc>
      </w:tr>
    </w:tbl>
    <w:p w:rsidR="00000000" w:rsidDel="00000000" w:rsidP="00000000" w:rsidRDefault="00000000" w:rsidRPr="00000000" w14:paraId="0000016B">
      <w:pPr>
        <w:rPr>
          <w:b w:val="1"/>
          <w:bCs w:val="1"/>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Tabel R3. Hovedpine (VAS 0–10): regressionskoefficienter (OLS HC3).</w:t>
      </w:r>
    </w:p>
    <w:tbl>
      <w:tblPr>
        <w:tblStyle w:val="Table9"/>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1438"/>
        <w:gridCol w:w="1438"/>
        <w:gridCol w:w="1438"/>
        <w:gridCol w:w="1438"/>
        <w:gridCol w:w="1438"/>
        <w:tblGridChange w:id="0">
          <w:tblGrid>
            <w:gridCol w:w="1440"/>
            <w:gridCol w:w="1438"/>
            <w:gridCol w:w="1438"/>
            <w:gridCol w:w="1438"/>
            <w:gridCol w:w="1438"/>
            <w:gridCol w:w="1438"/>
          </w:tblGrid>
        </w:tblGridChange>
      </w:tblGrid>
      <w:tr>
        <w:trPr>
          <w:cantSplit w:val="0"/>
          <w:tblHeader w:val="1"/>
        </w:trPr>
        <w:tc>
          <w:tcPr>
            <w:vAlign w:val="center"/>
          </w:tcPr>
          <w:p w:rsidR="00000000" w:rsidDel="00000000" w:rsidP="00000000" w:rsidRDefault="00000000" w:rsidRPr="00000000" w14:paraId="0000016D">
            <w:pPr>
              <w:rPr/>
            </w:pPr>
            <w:r w:rsidDel="00000000" w:rsidR="00000000" w:rsidRPr="00000000">
              <w:rPr>
                <w:rtl w:val="0"/>
              </w:rPr>
              <w:t xml:space="preserve">Variabel</w:t>
            </w:r>
          </w:p>
        </w:tc>
        <w:tc>
          <w:tcPr>
            <w:vAlign w:val="center"/>
          </w:tcPr>
          <w:p w:rsidR="00000000" w:rsidDel="00000000" w:rsidP="00000000" w:rsidRDefault="00000000" w:rsidRPr="00000000" w14:paraId="0000016E">
            <w:pPr>
              <w:rPr/>
            </w:pPr>
            <w:r w:rsidDel="00000000" w:rsidR="00000000" w:rsidRPr="00000000">
              <w:rPr>
                <w:rtl w:val="0"/>
              </w:rPr>
              <w:t xml:space="preserve">β</w:t>
            </w:r>
          </w:p>
        </w:tc>
        <w:tc>
          <w:tcPr>
            <w:vAlign w:val="center"/>
          </w:tcPr>
          <w:p w:rsidR="00000000" w:rsidDel="00000000" w:rsidP="00000000" w:rsidRDefault="00000000" w:rsidRPr="00000000" w14:paraId="0000016F">
            <w:pPr>
              <w:rPr/>
            </w:pPr>
            <w:r w:rsidDel="00000000" w:rsidR="00000000" w:rsidRPr="00000000">
              <w:rPr>
                <w:rtl w:val="0"/>
              </w:rPr>
              <w:t xml:space="preserve">SE (robust)</w:t>
            </w:r>
          </w:p>
        </w:tc>
        <w:tc>
          <w:tcPr>
            <w:vAlign w:val="center"/>
          </w:tcPr>
          <w:p w:rsidR="00000000" w:rsidDel="00000000" w:rsidP="00000000" w:rsidRDefault="00000000" w:rsidRPr="00000000" w14:paraId="00000170">
            <w:pPr>
              <w:rPr/>
            </w:pPr>
            <w:r w:rsidDel="00000000" w:rsidR="00000000" w:rsidRPr="00000000">
              <w:rPr>
                <w:rtl w:val="0"/>
              </w:rPr>
              <w:t xml:space="preserve">95 % KI (nedre)</w:t>
            </w:r>
          </w:p>
        </w:tc>
        <w:tc>
          <w:tcPr>
            <w:vAlign w:val="center"/>
          </w:tcPr>
          <w:p w:rsidR="00000000" w:rsidDel="00000000" w:rsidP="00000000" w:rsidRDefault="00000000" w:rsidRPr="00000000" w14:paraId="00000171">
            <w:pPr>
              <w:rPr/>
            </w:pPr>
            <w:r w:rsidDel="00000000" w:rsidR="00000000" w:rsidRPr="00000000">
              <w:rPr>
                <w:rtl w:val="0"/>
              </w:rPr>
              <w:t xml:space="preserve">95 % KI (øvre)</w:t>
            </w:r>
          </w:p>
        </w:tc>
        <w:tc>
          <w:tcPr>
            <w:vAlign w:val="center"/>
          </w:tcPr>
          <w:p w:rsidR="00000000" w:rsidDel="00000000" w:rsidP="00000000" w:rsidRDefault="00000000" w:rsidRPr="00000000" w14:paraId="00000172">
            <w:pPr>
              <w:rPr/>
            </w:pPr>
            <w:r w:rsidDel="00000000" w:rsidR="00000000" w:rsidRPr="00000000">
              <w:rPr>
                <w:rtl w:val="0"/>
              </w:rPr>
              <w:t xml:space="preserve">p</w:t>
            </w:r>
          </w:p>
        </w:tc>
      </w:tr>
      <w:tr>
        <w:trPr>
          <w:cantSplit w:val="0"/>
          <w:tblHeader w:val="0"/>
        </w:trPr>
        <w:tc>
          <w:tcPr>
            <w:vAlign w:val="center"/>
          </w:tcPr>
          <w:p w:rsidR="00000000" w:rsidDel="00000000" w:rsidP="00000000" w:rsidRDefault="00000000" w:rsidRPr="00000000" w14:paraId="00000173">
            <w:pPr>
              <w:rPr/>
            </w:pPr>
            <w:r w:rsidDel="00000000" w:rsidR="00000000" w:rsidRPr="00000000">
              <w:rPr>
                <w:rtl w:val="0"/>
              </w:rPr>
              <w:t xml:space="preserve">Konstant</w:t>
            </w:r>
          </w:p>
        </w:tc>
        <w:tc>
          <w:tcPr>
            <w:vAlign w:val="center"/>
          </w:tcPr>
          <w:p w:rsidR="00000000" w:rsidDel="00000000" w:rsidP="00000000" w:rsidRDefault="00000000" w:rsidRPr="00000000" w14:paraId="00000174">
            <w:pPr>
              <w:rPr/>
            </w:pPr>
            <w:r w:rsidDel="00000000" w:rsidR="00000000" w:rsidRPr="00000000">
              <w:rPr>
                <w:rtl w:val="0"/>
              </w:rPr>
              <w:t xml:space="preserve">3.865</w:t>
            </w:r>
          </w:p>
        </w:tc>
        <w:tc>
          <w:tcPr>
            <w:vAlign w:val="center"/>
          </w:tcPr>
          <w:p w:rsidR="00000000" w:rsidDel="00000000" w:rsidP="00000000" w:rsidRDefault="00000000" w:rsidRPr="00000000" w14:paraId="00000175">
            <w:pPr>
              <w:rPr/>
            </w:pPr>
            <w:r w:rsidDel="00000000" w:rsidR="00000000" w:rsidRPr="00000000">
              <w:rPr>
                <w:rtl w:val="0"/>
              </w:rPr>
              <w:t xml:space="preserve">3.912</w:t>
            </w:r>
          </w:p>
        </w:tc>
        <w:tc>
          <w:tcPr>
            <w:vAlign w:val="center"/>
          </w:tcPr>
          <w:p w:rsidR="00000000" w:rsidDel="00000000" w:rsidP="00000000" w:rsidRDefault="00000000" w:rsidRPr="00000000" w14:paraId="00000176">
            <w:pPr>
              <w:rPr/>
            </w:pPr>
            <w:r w:rsidDel="00000000" w:rsidR="00000000" w:rsidRPr="00000000">
              <w:rPr>
                <w:rtl w:val="0"/>
              </w:rPr>
              <w:t xml:space="preserve">-3.803</w:t>
            </w:r>
          </w:p>
        </w:tc>
        <w:tc>
          <w:tcPr>
            <w:vAlign w:val="center"/>
          </w:tcPr>
          <w:p w:rsidR="00000000" w:rsidDel="00000000" w:rsidP="00000000" w:rsidRDefault="00000000" w:rsidRPr="00000000" w14:paraId="00000177">
            <w:pPr>
              <w:rPr/>
            </w:pPr>
            <w:r w:rsidDel="00000000" w:rsidR="00000000" w:rsidRPr="00000000">
              <w:rPr>
                <w:rtl w:val="0"/>
              </w:rPr>
              <w:t xml:space="preserve">11.534</w:t>
            </w:r>
          </w:p>
        </w:tc>
        <w:tc>
          <w:tcPr>
            <w:vAlign w:val="center"/>
          </w:tcPr>
          <w:p w:rsidR="00000000" w:rsidDel="00000000" w:rsidP="00000000" w:rsidRDefault="00000000" w:rsidRPr="00000000" w14:paraId="00000178">
            <w:pPr>
              <w:rPr/>
            </w:pPr>
            <w:r w:rsidDel="00000000" w:rsidR="00000000" w:rsidRPr="00000000">
              <w:rPr>
                <w:rtl w:val="0"/>
              </w:rPr>
              <w:t xml:space="preserve">0.323</w:t>
            </w:r>
          </w:p>
        </w:tc>
      </w:tr>
      <w:tr>
        <w:trPr>
          <w:cantSplit w:val="0"/>
          <w:tblHeader w:val="0"/>
        </w:trPr>
        <w:tc>
          <w:tcPr>
            <w:vAlign w:val="center"/>
          </w:tcPr>
          <w:p w:rsidR="00000000" w:rsidDel="00000000" w:rsidP="00000000" w:rsidRDefault="00000000" w:rsidRPr="00000000" w14:paraId="00000179">
            <w:pPr>
              <w:rPr/>
            </w:pPr>
            <w:r w:rsidDel="00000000" w:rsidR="00000000" w:rsidRPr="00000000">
              <w:rPr>
                <w:rtl w:val="0"/>
              </w:rPr>
              <w:t xml:space="preserve">VAS før behandling (0–10)</w:t>
            </w:r>
          </w:p>
        </w:tc>
        <w:tc>
          <w:tcPr>
            <w:vAlign w:val="center"/>
          </w:tcPr>
          <w:p w:rsidR="00000000" w:rsidDel="00000000" w:rsidP="00000000" w:rsidRDefault="00000000" w:rsidRPr="00000000" w14:paraId="0000017A">
            <w:pPr>
              <w:rPr/>
            </w:pPr>
            <w:r w:rsidDel="00000000" w:rsidR="00000000" w:rsidRPr="00000000">
              <w:rPr>
                <w:rtl w:val="0"/>
              </w:rPr>
              <w:t xml:space="preserve">0.711</w:t>
            </w:r>
          </w:p>
        </w:tc>
        <w:tc>
          <w:tcPr>
            <w:vAlign w:val="center"/>
          </w:tcPr>
          <w:p w:rsidR="00000000" w:rsidDel="00000000" w:rsidP="00000000" w:rsidRDefault="00000000" w:rsidRPr="00000000" w14:paraId="0000017B">
            <w:pPr>
              <w:rPr/>
            </w:pPr>
            <w:r w:rsidDel="00000000" w:rsidR="00000000" w:rsidRPr="00000000">
              <w:rPr>
                <w:rtl w:val="0"/>
              </w:rPr>
              <w:t xml:space="preserve">0.186</w:t>
            </w:r>
          </w:p>
        </w:tc>
        <w:tc>
          <w:tcPr>
            <w:vAlign w:val="center"/>
          </w:tcPr>
          <w:p w:rsidR="00000000" w:rsidDel="00000000" w:rsidP="00000000" w:rsidRDefault="00000000" w:rsidRPr="00000000" w14:paraId="0000017C">
            <w:pPr>
              <w:rPr/>
            </w:pPr>
            <w:r w:rsidDel="00000000" w:rsidR="00000000" w:rsidRPr="00000000">
              <w:rPr>
                <w:rtl w:val="0"/>
              </w:rPr>
              <w:t xml:space="preserve">0.346</w:t>
            </w:r>
          </w:p>
        </w:tc>
        <w:tc>
          <w:tcPr>
            <w:vAlign w:val="center"/>
          </w:tcPr>
          <w:p w:rsidR="00000000" w:rsidDel="00000000" w:rsidP="00000000" w:rsidRDefault="00000000" w:rsidRPr="00000000" w14:paraId="0000017D">
            <w:pPr>
              <w:rPr/>
            </w:pPr>
            <w:r w:rsidDel="00000000" w:rsidR="00000000" w:rsidRPr="00000000">
              <w:rPr>
                <w:rtl w:val="0"/>
              </w:rPr>
              <w:t xml:space="preserve">1.075</w:t>
            </w:r>
          </w:p>
        </w:tc>
        <w:tc>
          <w:tcPr>
            <w:vAlign w:val="center"/>
          </w:tcPr>
          <w:p w:rsidR="00000000" w:rsidDel="00000000" w:rsidP="00000000" w:rsidRDefault="00000000" w:rsidRPr="00000000" w14:paraId="0000017E">
            <w:pPr>
              <w:rPr/>
            </w:pPr>
            <w:r w:rsidDel="00000000" w:rsidR="00000000" w:rsidRPr="00000000">
              <w:rPr>
                <w:rtl w:val="0"/>
              </w:rPr>
              <w:t xml:space="preserve">1.35e-04</w:t>
            </w:r>
          </w:p>
        </w:tc>
      </w:tr>
      <w:tr>
        <w:trPr>
          <w:cantSplit w:val="0"/>
          <w:tblHeader w:val="0"/>
        </w:trPr>
        <w:tc>
          <w:tcPr>
            <w:vAlign w:val="center"/>
          </w:tcPr>
          <w:p w:rsidR="00000000" w:rsidDel="00000000" w:rsidP="00000000" w:rsidRDefault="00000000" w:rsidRPr="00000000" w14:paraId="0000017F">
            <w:pPr>
              <w:rPr/>
            </w:pPr>
            <w:r w:rsidDel="00000000" w:rsidR="00000000" w:rsidRPr="00000000">
              <w:rPr>
                <w:rtl w:val="0"/>
              </w:rPr>
              <w:t xml:space="preserve">Alder (år)</w:t>
            </w:r>
          </w:p>
        </w:tc>
        <w:tc>
          <w:tcPr>
            <w:vAlign w:val="center"/>
          </w:tcPr>
          <w:p w:rsidR="00000000" w:rsidDel="00000000" w:rsidP="00000000" w:rsidRDefault="00000000" w:rsidRPr="00000000" w14:paraId="00000180">
            <w:pPr>
              <w:rPr/>
            </w:pPr>
            <w:r w:rsidDel="00000000" w:rsidR="00000000" w:rsidRPr="00000000">
              <w:rPr>
                <w:rtl w:val="0"/>
              </w:rPr>
              <w:t xml:space="preserve">0.004</w:t>
            </w:r>
          </w:p>
        </w:tc>
        <w:tc>
          <w:tcPr>
            <w:vAlign w:val="center"/>
          </w:tcPr>
          <w:p w:rsidR="00000000" w:rsidDel="00000000" w:rsidP="00000000" w:rsidRDefault="00000000" w:rsidRPr="00000000" w14:paraId="00000181">
            <w:pPr>
              <w:rPr/>
            </w:pPr>
            <w:r w:rsidDel="00000000" w:rsidR="00000000" w:rsidRPr="00000000">
              <w:rPr>
                <w:rtl w:val="0"/>
              </w:rPr>
              <w:t xml:space="preserve">0.040</w:t>
            </w:r>
          </w:p>
        </w:tc>
        <w:tc>
          <w:tcPr>
            <w:vAlign w:val="center"/>
          </w:tcPr>
          <w:p w:rsidR="00000000" w:rsidDel="00000000" w:rsidP="00000000" w:rsidRDefault="00000000" w:rsidRPr="00000000" w14:paraId="00000182">
            <w:pPr>
              <w:rPr/>
            </w:pPr>
            <w:r w:rsidDel="00000000" w:rsidR="00000000" w:rsidRPr="00000000">
              <w:rPr>
                <w:rtl w:val="0"/>
              </w:rPr>
              <w:t xml:space="preserve">-0.075</w:t>
            </w:r>
          </w:p>
        </w:tc>
        <w:tc>
          <w:tcPr>
            <w:vAlign w:val="center"/>
          </w:tcPr>
          <w:p w:rsidR="00000000" w:rsidDel="00000000" w:rsidP="00000000" w:rsidRDefault="00000000" w:rsidRPr="00000000" w14:paraId="00000183">
            <w:pPr>
              <w:rPr/>
            </w:pPr>
            <w:r w:rsidDel="00000000" w:rsidR="00000000" w:rsidRPr="00000000">
              <w:rPr>
                <w:rtl w:val="0"/>
              </w:rPr>
              <w:t xml:space="preserve">0.082</w:t>
            </w:r>
          </w:p>
        </w:tc>
        <w:tc>
          <w:tcPr>
            <w:vAlign w:val="center"/>
          </w:tcPr>
          <w:p w:rsidR="00000000" w:rsidDel="00000000" w:rsidP="00000000" w:rsidRDefault="00000000" w:rsidRPr="00000000" w14:paraId="00000184">
            <w:pPr>
              <w:rPr/>
            </w:pPr>
            <w:r w:rsidDel="00000000" w:rsidR="00000000" w:rsidRPr="00000000">
              <w:rPr>
                <w:rtl w:val="0"/>
              </w:rPr>
              <w:t xml:space="preserve">0.924</w:t>
            </w:r>
          </w:p>
        </w:tc>
      </w:tr>
      <w:tr>
        <w:trPr>
          <w:cantSplit w:val="0"/>
          <w:tblHeader w:val="0"/>
        </w:trPr>
        <w:tc>
          <w:tcPr>
            <w:vAlign w:val="center"/>
          </w:tcPr>
          <w:p w:rsidR="00000000" w:rsidDel="00000000" w:rsidP="00000000" w:rsidRDefault="00000000" w:rsidRPr="00000000" w14:paraId="00000185">
            <w:pPr>
              <w:rPr/>
            </w:pPr>
            <w:r w:rsidDel="00000000" w:rsidR="00000000" w:rsidRPr="00000000">
              <w:rPr>
                <w:rtl w:val="0"/>
              </w:rPr>
              <w:t xml:space="preserve">Køn: Mand (vs kvinde)</w:t>
            </w:r>
          </w:p>
        </w:tc>
        <w:tc>
          <w:tcPr>
            <w:vAlign w:val="center"/>
          </w:tcPr>
          <w:p w:rsidR="00000000" w:rsidDel="00000000" w:rsidP="00000000" w:rsidRDefault="00000000" w:rsidRPr="00000000" w14:paraId="00000186">
            <w:pPr>
              <w:rPr/>
            </w:pPr>
            <w:r w:rsidDel="00000000" w:rsidR="00000000" w:rsidRPr="00000000">
              <w:rPr>
                <w:rtl w:val="0"/>
              </w:rPr>
              <w:t xml:space="preserve">-0.312</w:t>
            </w:r>
          </w:p>
        </w:tc>
        <w:tc>
          <w:tcPr>
            <w:vAlign w:val="center"/>
          </w:tcPr>
          <w:p w:rsidR="00000000" w:rsidDel="00000000" w:rsidP="00000000" w:rsidRDefault="00000000" w:rsidRPr="00000000" w14:paraId="00000187">
            <w:pPr>
              <w:rPr/>
            </w:pPr>
            <w:r w:rsidDel="00000000" w:rsidR="00000000" w:rsidRPr="00000000">
              <w:rPr>
                <w:rtl w:val="0"/>
              </w:rPr>
              <w:t xml:space="preserve">1.256</w:t>
            </w:r>
          </w:p>
        </w:tc>
        <w:tc>
          <w:tcPr>
            <w:vAlign w:val="center"/>
          </w:tcPr>
          <w:p w:rsidR="00000000" w:rsidDel="00000000" w:rsidP="00000000" w:rsidRDefault="00000000" w:rsidRPr="00000000" w14:paraId="00000188">
            <w:pPr>
              <w:rPr/>
            </w:pPr>
            <w:r w:rsidDel="00000000" w:rsidR="00000000" w:rsidRPr="00000000">
              <w:rPr>
                <w:rtl w:val="0"/>
              </w:rPr>
              <w:t xml:space="preserve">-2.774</w:t>
            </w:r>
          </w:p>
        </w:tc>
        <w:tc>
          <w:tcPr>
            <w:vAlign w:val="center"/>
          </w:tcPr>
          <w:p w:rsidR="00000000" w:rsidDel="00000000" w:rsidP="00000000" w:rsidRDefault="00000000" w:rsidRPr="00000000" w14:paraId="00000189">
            <w:pPr>
              <w:rPr/>
            </w:pPr>
            <w:r w:rsidDel="00000000" w:rsidR="00000000" w:rsidRPr="00000000">
              <w:rPr>
                <w:rtl w:val="0"/>
              </w:rPr>
              <w:t xml:space="preserve">2.150</w:t>
            </w:r>
          </w:p>
        </w:tc>
        <w:tc>
          <w:tcPr>
            <w:vAlign w:val="center"/>
          </w:tcPr>
          <w:p w:rsidR="00000000" w:rsidDel="00000000" w:rsidP="00000000" w:rsidRDefault="00000000" w:rsidRPr="00000000" w14:paraId="0000018A">
            <w:pPr>
              <w:rPr/>
            </w:pPr>
            <w:r w:rsidDel="00000000" w:rsidR="00000000" w:rsidRPr="00000000">
              <w:rPr>
                <w:rtl w:val="0"/>
              </w:rPr>
              <w:t xml:space="preserve">0.804</w:t>
            </w:r>
          </w:p>
        </w:tc>
      </w:tr>
      <w:tr>
        <w:trPr>
          <w:cantSplit w:val="0"/>
          <w:tblHeader w:val="0"/>
        </w:trPr>
        <w:tc>
          <w:tcPr>
            <w:vAlign w:val="center"/>
          </w:tcPr>
          <w:p w:rsidR="00000000" w:rsidDel="00000000" w:rsidP="00000000" w:rsidRDefault="00000000" w:rsidRPr="00000000" w14:paraId="0000018B">
            <w:pPr>
              <w:rPr/>
            </w:pPr>
            <w:r w:rsidDel="00000000" w:rsidR="00000000" w:rsidRPr="00000000">
              <w:rPr>
                <w:rtl w:val="0"/>
              </w:rPr>
              <w:t xml:space="preserve">log(tid siden skade + 1)</w:t>
            </w:r>
          </w:p>
        </w:tc>
        <w:tc>
          <w:tcPr>
            <w:vAlign w:val="center"/>
          </w:tcPr>
          <w:p w:rsidR="00000000" w:rsidDel="00000000" w:rsidP="00000000" w:rsidRDefault="00000000" w:rsidRPr="00000000" w14:paraId="0000018C">
            <w:pPr>
              <w:rPr/>
            </w:pPr>
            <w:r w:rsidDel="00000000" w:rsidR="00000000" w:rsidRPr="00000000">
              <w:rPr>
                <w:rtl w:val="0"/>
              </w:rPr>
              <w:t xml:space="preserve">-0.606</w:t>
            </w:r>
          </w:p>
        </w:tc>
        <w:tc>
          <w:tcPr>
            <w:vAlign w:val="center"/>
          </w:tcPr>
          <w:p w:rsidR="00000000" w:rsidDel="00000000" w:rsidP="00000000" w:rsidRDefault="00000000" w:rsidRPr="00000000" w14:paraId="0000018D">
            <w:pPr>
              <w:rPr/>
            </w:pPr>
            <w:r w:rsidDel="00000000" w:rsidR="00000000" w:rsidRPr="00000000">
              <w:rPr>
                <w:rtl w:val="0"/>
              </w:rPr>
              <w:t xml:space="preserve">0.679</w:t>
            </w:r>
          </w:p>
        </w:tc>
        <w:tc>
          <w:tcPr>
            <w:vAlign w:val="center"/>
          </w:tcPr>
          <w:p w:rsidR="00000000" w:rsidDel="00000000" w:rsidP="00000000" w:rsidRDefault="00000000" w:rsidRPr="00000000" w14:paraId="0000018E">
            <w:pPr>
              <w:rPr/>
            </w:pPr>
            <w:r w:rsidDel="00000000" w:rsidR="00000000" w:rsidRPr="00000000">
              <w:rPr>
                <w:rtl w:val="0"/>
              </w:rPr>
              <w:t xml:space="preserve">-1.937</w:t>
            </w:r>
          </w:p>
        </w:tc>
        <w:tc>
          <w:tcPr>
            <w:vAlign w:val="center"/>
          </w:tcPr>
          <w:p w:rsidR="00000000" w:rsidDel="00000000" w:rsidP="00000000" w:rsidRDefault="00000000" w:rsidRPr="00000000" w14:paraId="0000018F">
            <w:pPr>
              <w:rPr/>
            </w:pPr>
            <w:r w:rsidDel="00000000" w:rsidR="00000000" w:rsidRPr="00000000">
              <w:rPr>
                <w:rtl w:val="0"/>
              </w:rPr>
              <w:t xml:space="preserve">0.725</w:t>
            </w:r>
          </w:p>
        </w:tc>
        <w:tc>
          <w:tcPr>
            <w:vAlign w:val="center"/>
          </w:tcPr>
          <w:p w:rsidR="00000000" w:rsidDel="00000000" w:rsidP="00000000" w:rsidRDefault="00000000" w:rsidRPr="00000000" w14:paraId="00000190">
            <w:pPr>
              <w:rPr/>
            </w:pPr>
            <w:r w:rsidDel="00000000" w:rsidR="00000000" w:rsidRPr="00000000">
              <w:rPr>
                <w:rtl w:val="0"/>
              </w:rPr>
              <w:t xml:space="preserve">0.372</w:t>
            </w:r>
          </w:p>
        </w:tc>
      </w:tr>
    </w:tbl>
    <w:p w:rsidR="00000000" w:rsidDel="00000000" w:rsidP="00000000" w:rsidRDefault="00000000" w:rsidRPr="00000000" w14:paraId="00000191">
      <w:pPr>
        <w:rPr>
          <w:b w:val="1"/>
          <w:bCs w:val="1"/>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Tabel R4. Reaktionstid (% forbedring; evaluérbare RT_før &gt; 0,30 s): regressionskoefficienter (OLS HC3).</w:t>
      </w:r>
    </w:p>
    <w:tbl>
      <w:tblPr>
        <w:tblStyle w:val="Table10"/>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4"/>
        <w:gridCol w:w="1414"/>
        <w:gridCol w:w="1420"/>
        <w:gridCol w:w="1420"/>
        <w:gridCol w:w="1420"/>
        <w:gridCol w:w="1402"/>
        <w:tblGridChange w:id="0">
          <w:tblGrid>
            <w:gridCol w:w="1554"/>
            <w:gridCol w:w="1414"/>
            <w:gridCol w:w="1420"/>
            <w:gridCol w:w="1420"/>
            <w:gridCol w:w="1420"/>
            <w:gridCol w:w="1402"/>
          </w:tblGrid>
        </w:tblGridChange>
      </w:tblGrid>
      <w:tr>
        <w:trPr>
          <w:cantSplit w:val="0"/>
          <w:tblHeader w:val="1"/>
        </w:trPr>
        <w:tc>
          <w:tcPr>
            <w:vAlign w:val="center"/>
          </w:tcPr>
          <w:p w:rsidR="00000000" w:rsidDel="00000000" w:rsidP="00000000" w:rsidRDefault="00000000" w:rsidRPr="00000000" w14:paraId="00000194">
            <w:pPr>
              <w:rPr/>
            </w:pPr>
            <w:r w:rsidDel="00000000" w:rsidR="00000000" w:rsidRPr="00000000">
              <w:rPr>
                <w:rtl w:val="0"/>
              </w:rPr>
              <w:t xml:space="preserve">Variabel</w:t>
            </w:r>
          </w:p>
        </w:tc>
        <w:tc>
          <w:tcPr>
            <w:vAlign w:val="center"/>
          </w:tcPr>
          <w:p w:rsidR="00000000" w:rsidDel="00000000" w:rsidP="00000000" w:rsidRDefault="00000000" w:rsidRPr="00000000" w14:paraId="00000195">
            <w:pPr>
              <w:rPr/>
            </w:pPr>
            <w:r w:rsidDel="00000000" w:rsidR="00000000" w:rsidRPr="00000000">
              <w:rPr>
                <w:rtl w:val="0"/>
              </w:rPr>
              <w:t xml:space="preserve">β</w:t>
            </w:r>
          </w:p>
        </w:tc>
        <w:tc>
          <w:tcPr>
            <w:vAlign w:val="center"/>
          </w:tcPr>
          <w:p w:rsidR="00000000" w:rsidDel="00000000" w:rsidP="00000000" w:rsidRDefault="00000000" w:rsidRPr="00000000" w14:paraId="00000196">
            <w:pPr>
              <w:rPr/>
            </w:pPr>
            <w:r w:rsidDel="00000000" w:rsidR="00000000" w:rsidRPr="00000000">
              <w:rPr>
                <w:rtl w:val="0"/>
              </w:rPr>
              <w:t xml:space="preserve">SE (robust)</w:t>
            </w:r>
          </w:p>
        </w:tc>
        <w:tc>
          <w:tcPr>
            <w:vAlign w:val="center"/>
          </w:tcPr>
          <w:p w:rsidR="00000000" w:rsidDel="00000000" w:rsidP="00000000" w:rsidRDefault="00000000" w:rsidRPr="00000000" w14:paraId="00000197">
            <w:pPr>
              <w:rPr/>
            </w:pPr>
            <w:r w:rsidDel="00000000" w:rsidR="00000000" w:rsidRPr="00000000">
              <w:rPr>
                <w:rtl w:val="0"/>
              </w:rPr>
              <w:t xml:space="preserve">95 % KI (nedre)</w:t>
            </w:r>
          </w:p>
        </w:tc>
        <w:tc>
          <w:tcPr>
            <w:vAlign w:val="center"/>
          </w:tcPr>
          <w:p w:rsidR="00000000" w:rsidDel="00000000" w:rsidP="00000000" w:rsidRDefault="00000000" w:rsidRPr="00000000" w14:paraId="00000198">
            <w:pPr>
              <w:rPr/>
            </w:pPr>
            <w:r w:rsidDel="00000000" w:rsidR="00000000" w:rsidRPr="00000000">
              <w:rPr>
                <w:rtl w:val="0"/>
              </w:rPr>
              <w:t xml:space="preserve">95 % KI (øvre)</w:t>
            </w:r>
          </w:p>
        </w:tc>
        <w:tc>
          <w:tcPr>
            <w:vAlign w:val="center"/>
          </w:tcPr>
          <w:p w:rsidR="00000000" w:rsidDel="00000000" w:rsidP="00000000" w:rsidRDefault="00000000" w:rsidRPr="00000000" w14:paraId="00000199">
            <w:pPr>
              <w:rPr/>
            </w:pPr>
            <w:r w:rsidDel="00000000" w:rsidR="00000000" w:rsidRPr="00000000">
              <w:rPr>
                <w:rtl w:val="0"/>
              </w:rPr>
              <w:t xml:space="preserve">p</w:t>
            </w:r>
          </w:p>
        </w:tc>
      </w:tr>
      <w:tr>
        <w:trPr>
          <w:cantSplit w:val="0"/>
          <w:tblHeader w:val="0"/>
        </w:trPr>
        <w:tc>
          <w:tcPr>
            <w:vAlign w:val="center"/>
          </w:tcPr>
          <w:p w:rsidR="00000000" w:rsidDel="00000000" w:rsidP="00000000" w:rsidRDefault="00000000" w:rsidRPr="00000000" w14:paraId="0000019A">
            <w:pPr>
              <w:rPr/>
            </w:pPr>
            <w:r w:rsidDel="00000000" w:rsidR="00000000" w:rsidRPr="00000000">
              <w:rPr>
                <w:rtl w:val="0"/>
              </w:rPr>
              <w:t xml:space="preserve">Konstant</w:t>
            </w:r>
          </w:p>
        </w:tc>
        <w:tc>
          <w:tcPr>
            <w:vAlign w:val="center"/>
          </w:tcPr>
          <w:p w:rsidR="00000000" w:rsidDel="00000000" w:rsidP="00000000" w:rsidRDefault="00000000" w:rsidRPr="00000000" w14:paraId="0000019B">
            <w:pPr>
              <w:rPr/>
            </w:pPr>
            <w:r w:rsidDel="00000000" w:rsidR="00000000" w:rsidRPr="00000000">
              <w:rPr>
                <w:rtl w:val="0"/>
              </w:rPr>
              <w:t xml:space="preserve">966.466</w:t>
            </w:r>
          </w:p>
        </w:tc>
        <w:tc>
          <w:tcPr>
            <w:vAlign w:val="center"/>
          </w:tcPr>
          <w:p w:rsidR="00000000" w:rsidDel="00000000" w:rsidP="00000000" w:rsidRDefault="00000000" w:rsidRPr="00000000" w14:paraId="0000019C">
            <w:pPr>
              <w:rPr/>
            </w:pPr>
            <w:r w:rsidDel="00000000" w:rsidR="00000000" w:rsidRPr="00000000">
              <w:rPr>
                <w:rtl w:val="0"/>
              </w:rPr>
              <w:t xml:space="preserve">1151.023</w:t>
            </w:r>
          </w:p>
        </w:tc>
        <w:tc>
          <w:tcPr>
            <w:vAlign w:val="center"/>
          </w:tcPr>
          <w:p w:rsidR="00000000" w:rsidDel="00000000" w:rsidP="00000000" w:rsidRDefault="00000000" w:rsidRPr="00000000" w14:paraId="0000019D">
            <w:pPr>
              <w:rPr/>
            </w:pPr>
            <w:r w:rsidDel="00000000" w:rsidR="00000000" w:rsidRPr="00000000">
              <w:rPr>
                <w:rtl w:val="0"/>
              </w:rPr>
              <w:t xml:space="preserve">-1289.498</w:t>
            </w:r>
          </w:p>
        </w:tc>
        <w:tc>
          <w:tcPr>
            <w:vAlign w:val="center"/>
          </w:tcPr>
          <w:p w:rsidR="00000000" w:rsidDel="00000000" w:rsidP="00000000" w:rsidRDefault="00000000" w:rsidRPr="00000000" w14:paraId="0000019E">
            <w:pPr>
              <w:rPr/>
            </w:pPr>
            <w:r w:rsidDel="00000000" w:rsidR="00000000" w:rsidRPr="00000000">
              <w:rPr>
                <w:rtl w:val="0"/>
              </w:rPr>
              <w:t xml:space="preserve">3222.430</w:t>
            </w:r>
          </w:p>
        </w:tc>
        <w:tc>
          <w:tcPr>
            <w:vAlign w:val="center"/>
          </w:tcPr>
          <w:p w:rsidR="00000000" w:rsidDel="00000000" w:rsidP="00000000" w:rsidRDefault="00000000" w:rsidRPr="00000000" w14:paraId="0000019F">
            <w:pPr>
              <w:rPr/>
            </w:pPr>
            <w:r w:rsidDel="00000000" w:rsidR="00000000" w:rsidRPr="00000000">
              <w:rPr>
                <w:rtl w:val="0"/>
              </w:rPr>
              <w:t xml:space="preserve">0.401</w:t>
            </w:r>
          </w:p>
        </w:tc>
      </w:tr>
      <w:tr>
        <w:trPr>
          <w:cantSplit w:val="0"/>
          <w:tblHeader w:val="0"/>
        </w:trPr>
        <w:tc>
          <w:tcPr>
            <w:vAlign w:val="center"/>
          </w:tcPr>
          <w:p w:rsidR="00000000" w:rsidDel="00000000" w:rsidP="00000000" w:rsidRDefault="00000000" w:rsidRPr="00000000" w14:paraId="000001A0">
            <w:pPr>
              <w:rPr/>
            </w:pPr>
            <w:r w:rsidDel="00000000" w:rsidR="00000000" w:rsidRPr="00000000">
              <w:rPr>
                <w:rtl w:val="0"/>
              </w:rPr>
              <w:t xml:space="preserve">Kohorte: Hjerneskade (vs hjernerystelse)</w:t>
            </w:r>
          </w:p>
        </w:tc>
        <w:tc>
          <w:tcPr>
            <w:vAlign w:val="center"/>
          </w:tcPr>
          <w:p w:rsidR="00000000" w:rsidDel="00000000" w:rsidP="00000000" w:rsidRDefault="00000000" w:rsidRPr="00000000" w14:paraId="000001A1">
            <w:pPr>
              <w:rPr/>
            </w:pPr>
            <w:r w:rsidDel="00000000" w:rsidR="00000000" w:rsidRPr="00000000">
              <w:rPr>
                <w:rtl w:val="0"/>
              </w:rPr>
              <w:t xml:space="preserve">-755.987</w:t>
            </w:r>
          </w:p>
        </w:tc>
        <w:tc>
          <w:tcPr>
            <w:vAlign w:val="center"/>
          </w:tcPr>
          <w:p w:rsidR="00000000" w:rsidDel="00000000" w:rsidP="00000000" w:rsidRDefault="00000000" w:rsidRPr="00000000" w14:paraId="000001A2">
            <w:pPr>
              <w:rPr/>
            </w:pPr>
            <w:r w:rsidDel="00000000" w:rsidR="00000000" w:rsidRPr="00000000">
              <w:rPr>
                <w:rtl w:val="0"/>
              </w:rPr>
              <w:t xml:space="preserve">767.002</w:t>
            </w:r>
          </w:p>
        </w:tc>
        <w:tc>
          <w:tcPr>
            <w:vAlign w:val="center"/>
          </w:tcPr>
          <w:p w:rsidR="00000000" w:rsidDel="00000000" w:rsidP="00000000" w:rsidRDefault="00000000" w:rsidRPr="00000000" w14:paraId="000001A3">
            <w:pPr>
              <w:rPr/>
            </w:pPr>
            <w:r w:rsidDel="00000000" w:rsidR="00000000" w:rsidRPr="00000000">
              <w:rPr>
                <w:rtl w:val="0"/>
              </w:rPr>
              <w:t xml:space="preserve">-2259.284</w:t>
            </w:r>
          </w:p>
        </w:tc>
        <w:tc>
          <w:tcPr>
            <w:vAlign w:val="center"/>
          </w:tcPr>
          <w:p w:rsidR="00000000" w:rsidDel="00000000" w:rsidP="00000000" w:rsidRDefault="00000000" w:rsidRPr="00000000" w14:paraId="000001A4">
            <w:pPr>
              <w:rPr/>
            </w:pPr>
            <w:r w:rsidDel="00000000" w:rsidR="00000000" w:rsidRPr="00000000">
              <w:rPr>
                <w:rtl w:val="0"/>
              </w:rPr>
              <w:t xml:space="preserve">747.309</w:t>
            </w:r>
          </w:p>
        </w:tc>
        <w:tc>
          <w:tcPr>
            <w:vAlign w:val="center"/>
          </w:tcPr>
          <w:p w:rsidR="00000000" w:rsidDel="00000000" w:rsidP="00000000" w:rsidRDefault="00000000" w:rsidRPr="00000000" w14:paraId="000001A5">
            <w:pPr>
              <w:rPr/>
            </w:pPr>
            <w:r w:rsidDel="00000000" w:rsidR="00000000" w:rsidRPr="00000000">
              <w:rPr>
                <w:rtl w:val="0"/>
              </w:rPr>
              <w:t xml:space="preserve">0.324</w:t>
            </w:r>
          </w:p>
        </w:tc>
      </w:tr>
      <w:tr>
        <w:trPr>
          <w:cantSplit w:val="0"/>
          <w:tblHeader w:val="0"/>
        </w:trPr>
        <w:tc>
          <w:tcPr>
            <w:vAlign w:val="center"/>
          </w:tcPr>
          <w:p w:rsidR="00000000" w:rsidDel="00000000" w:rsidP="00000000" w:rsidRDefault="00000000" w:rsidRPr="00000000" w14:paraId="000001A6">
            <w:pPr>
              <w:rPr/>
            </w:pPr>
            <w:r w:rsidDel="00000000" w:rsidR="00000000" w:rsidRPr="00000000">
              <w:rPr>
                <w:rtl w:val="0"/>
              </w:rPr>
              <w:t xml:space="preserve">RT før behandling (sek.)</w:t>
            </w:r>
          </w:p>
        </w:tc>
        <w:tc>
          <w:tcPr>
            <w:vAlign w:val="center"/>
          </w:tcPr>
          <w:p w:rsidR="00000000" w:rsidDel="00000000" w:rsidP="00000000" w:rsidRDefault="00000000" w:rsidRPr="00000000" w14:paraId="000001A7">
            <w:pPr>
              <w:rPr/>
            </w:pPr>
            <w:r w:rsidDel="00000000" w:rsidR="00000000" w:rsidRPr="00000000">
              <w:rPr>
                <w:rtl w:val="0"/>
              </w:rPr>
              <w:t xml:space="preserve">397.618</w:t>
            </w:r>
          </w:p>
        </w:tc>
        <w:tc>
          <w:tcPr>
            <w:vAlign w:val="center"/>
          </w:tcPr>
          <w:p w:rsidR="00000000" w:rsidDel="00000000" w:rsidP="00000000" w:rsidRDefault="00000000" w:rsidRPr="00000000" w14:paraId="000001A8">
            <w:pPr>
              <w:rPr/>
            </w:pPr>
            <w:r w:rsidDel="00000000" w:rsidR="00000000" w:rsidRPr="00000000">
              <w:rPr>
                <w:rtl w:val="0"/>
              </w:rPr>
              <w:t xml:space="preserve">424.180</w:t>
            </w:r>
          </w:p>
        </w:tc>
        <w:tc>
          <w:tcPr>
            <w:vAlign w:val="center"/>
          </w:tcPr>
          <w:p w:rsidR="00000000" w:rsidDel="00000000" w:rsidP="00000000" w:rsidRDefault="00000000" w:rsidRPr="00000000" w14:paraId="000001A9">
            <w:pPr>
              <w:rPr/>
            </w:pPr>
            <w:r w:rsidDel="00000000" w:rsidR="00000000" w:rsidRPr="00000000">
              <w:rPr>
                <w:rtl w:val="0"/>
              </w:rPr>
              <w:t xml:space="preserve">-433.760</w:t>
            </w:r>
          </w:p>
        </w:tc>
        <w:tc>
          <w:tcPr>
            <w:vAlign w:val="center"/>
          </w:tcPr>
          <w:p w:rsidR="00000000" w:rsidDel="00000000" w:rsidP="00000000" w:rsidRDefault="00000000" w:rsidRPr="00000000" w14:paraId="000001AA">
            <w:pPr>
              <w:rPr/>
            </w:pPr>
            <w:r w:rsidDel="00000000" w:rsidR="00000000" w:rsidRPr="00000000">
              <w:rPr>
                <w:rtl w:val="0"/>
              </w:rPr>
              <w:t xml:space="preserve">1228.996</w:t>
            </w:r>
          </w:p>
        </w:tc>
        <w:tc>
          <w:tcPr>
            <w:vAlign w:val="center"/>
          </w:tcPr>
          <w:p w:rsidR="00000000" w:rsidDel="00000000" w:rsidP="00000000" w:rsidRDefault="00000000" w:rsidRPr="00000000" w14:paraId="000001AB">
            <w:pPr>
              <w:rPr/>
            </w:pPr>
            <w:r w:rsidDel="00000000" w:rsidR="00000000" w:rsidRPr="00000000">
              <w:rPr>
                <w:rtl w:val="0"/>
              </w:rPr>
              <w:t xml:space="preserve">0.349</w:t>
            </w:r>
          </w:p>
        </w:tc>
      </w:tr>
      <w:tr>
        <w:trPr>
          <w:cantSplit w:val="0"/>
          <w:tblHeader w:val="0"/>
        </w:trPr>
        <w:tc>
          <w:tcPr>
            <w:vAlign w:val="center"/>
          </w:tcPr>
          <w:p w:rsidR="00000000" w:rsidDel="00000000" w:rsidP="00000000" w:rsidRDefault="00000000" w:rsidRPr="00000000" w14:paraId="000001AC">
            <w:pPr>
              <w:rPr/>
            </w:pPr>
            <w:r w:rsidDel="00000000" w:rsidR="00000000" w:rsidRPr="00000000">
              <w:rPr>
                <w:rtl w:val="0"/>
              </w:rPr>
              <w:t xml:space="preserve">Alder (år)</w:t>
            </w:r>
          </w:p>
        </w:tc>
        <w:tc>
          <w:tcPr>
            <w:vAlign w:val="center"/>
          </w:tcPr>
          <w:p w:rsidR="00000000" w:rsidDel="00000000" w:rsidP="00000000" w:rsidRDefault="00000000" w:rsidRPr="00000000" w14:paraId="000001AD">
            <w:pPr>
              <w:rPr/>
            </w:pPr>
            <w:r w:rsidDel="00000000" w:rsidR="00000000" w:rsidRPr="00000000">
              <w:rPr>
                <w:rtl w:val="0"/>
              </w:rPr>
              <w:t xml:space="preserve">10.121</w:t>
            </w:r>
          </w:p>
        </w:tc>
        <w:tc>
          <w:tcPr>
            <w:vAlign w:val="center"/>
          </w:tcPr>
          <w:p w:rsidR="00000000" w:rsidDel="00000000" w:rsidP="00000000" w:rsidRDefault="00000000" w:rsidRPr="00000000" w14:paraId="000001AE">
            <w:pPr>
              <w:rPr/>
            </w:pPr>
            <w:r w:rsidDel="00000000" w:rsidR="00000000" w:rsidRPr="00000000">
              <w:rPr>
                <w:rtl w:val="0"/>
              </w:rPr>
              <w:t xml:space="preserve">11.727</w:t>
            </w:r>
          </w:p>
        </w:tc>
        <w:tc>
          <w:tcPr>
            <w:vAlign w:val="center"/>
          </w:tcPr>
          <w:p w:rsidR="00000000" w:rsidDel="00000000" w:rsidP="00000000" w:rsidRDefault="00000000" w:rsidRPr="00000000" w14:paraId="000001AF">
            <w:pPr>
              <w:rPr/>
            </w:pPr>
            <w:r w:rsidDel="00000000" w:rsidR="00000000" w:rsidRPr="00000000">
              <w:rPr>
                <w:rtl w:val="0"/>
              </w:rPr>
              <w:t xml:space="preserve">-12.865</w:t>
            </w:r>
          </w:p>
        </w:tc>
        <w:tc>
          <w:tcPr>
            <w:vAlign w:val="center"/>
          </w:tcPr>
          <w:p w:rsidR="00000000" w:rsidDel="00000000" w:rsidP="00000000" w:rsidRDefault="00000000" w:rsidRPr="00000000" w14:paraId="000001B0">
            <w:pPr>
              <w:rPr/>
            </w:pPr>
            <w:r w:rsidDel="00000000" w:rsidR="00000000" w:rsidRPr="00000000">
              <w:rPr>
                <w:rtl w:val="0"/>
              </w:rPr>
              <w:t xml:space="preserve">33.106</w:t>
            </w:r>
          </w:p>
        </w:tc>
        <w:tc>
          <w:tcPr>
            <w:vAlign w:val="center"/>
          </w:tcPr>
          <w:p w:rsidR="00000000" w:rsidDel="00000000" w:rsidP="00000000" w:rsidRDefault="00000000" w:rsidRPr="00000000" w14:paraId="000001B1">
            <w:pPr>
              <w:rPr/>
            </w:pPr>
            <w:r w:rsidDel="00000000" w:rsidR="00000000" w:rsidRPr="00000000">
              <w:rPr>
                <w:rtl w:val="0"/>
              </w:rPr>
              <w:t xml:space="preserve">0.388</w:t>
            </w:r>
          </w:p>
        </w:tc>
      </w:tr>
      <w:tr>
        <w:trPr>
          <w:cantSplit w:val="0"/>
          <w:tblHeader w:val="0"/>
        </w:trPr>
        <w:tc>
          <w:tcPr>
            <w:vAlign w:val="center"/>
          </w:tcPr>
          <w:p w:rsidR="00000000" w:rsidDel="00000000" w:rsidP="00000000" w:rsidRDefault="00000000" w:rsidRPr="00000000" w14:paraId="000001B2">
            <w:pPr>
              <w:rPr/>
            </w:pPr>
            <w:r w:rsidDel="00000000" w:rsidR="00000000" w:rsidRPr="00000000">
              <w:rPr>
                <w:rtl w:val="0"/>
              </w:rPr>
              <w:t xml:space="preserve">Køn: Mand (vs kvinde)</w:t>
            </w:r>
          </w:p>
        </w:tc>
        <w:tc>
          <w:tcPr>
            <w:vAlign w:val="center"/>
          </w:tcPr>
          <w:p w:rsidR="00000000" w:rsidDel="00000000" w:rsidP="00000000" w:rsidRDefault="00000000" w:rsidRPr="00000000" w14:paraId="000001B3">
            <w:pPr>
              <w:rPr/>
            </w:pPr>
            <w:r w:rsidDel="00000000" w:rsidR="00000000" w:rsidRPr="00000000">
              <w:rPr>
                <w:rtl w:val="0"/>
              </w:rPr>
              <w:t xml:space="preserve">351.027</w:t>
            </w:r>
          </w:p>
        </w:tc>
        <w:tc>
          <w:tcPr>
            <w:vAlign w:val="center"/>
          </w:tcPr>
          <w:p w:rsidR="00000000" w:rsidDel="00000000" w:rsidP="00000000" w:rsidRDefault="00000000" w:rsidRPr="00000000" w14:paraId="000001B4">
            <w:pPr>
              <w:rPr/>
            </w:pPr>
            <w:r w:rsidDel="00000000" w:rsidR="00000000" w:rsidRPr="00000000">
              <w:rPr>
                <w:rtl w:val="0"/>
              </w:rPr>
              <w:t xml:space="preserve">383.132</w:t>
            </w:r>
          </w:p>
        </w:tc>
        <w:tc>
          <w:tcPr>
            <w:vAlign w:val="center"/>
          </w:tcPr>
          <w:p w:rsidR="00000000" w:rsidDel="00000000" w:rsidP="00000000" w:rsidRDefault="00000000" w:rsidRPr="00000000" w14:paraId="000001B5">
            <w:pPr>
              <w:rPr/>
            </w:pPr>
            <w:r w:rsidDel="00000000" w:rsidR="00000000" w:rsidRPr="00000000">
              <w:rPr>
                <w:rtl w:val="0"/>
              </w:rPr>
              <w:t xml:space="preserve">-399.898</w:t>
            </w:r>
          </w:p>
        </w:tc>
        <w:tc>
          <w:tcPr>
            <w:vAlign w:val="center"/>
          </w:tcPr>
          <w:p w:rsidR="00000000" w:rsidDel="00000000" w:rsidP="00000000" w:rsidRDefault="00000000" w:rsidRPr="00000000" w14:paraId="000001B6">
            <w:pPr>
              <w:rPr/>
            </w:pPr>
            <w:r w:rsidDel="00000000" w:rsidR="00000000" w:rsidRPr="00000000">
              <w:rPr>
                <w:rtl w:val="0"/>
              </w:rPr>
              <w:t xml:space="preserve">1101.952</w:t>
            </w:r>
          </w:p>
        </w:tc>
        <w:tc>
          <w:tcPr>
            <w:vAlign w:val="center"/>
          </w:tcPr>
          <w:p w:rsidR="00000000" w:rsidDel="00000000" w:rsidP="00000000" w:rsidRDefault="00000000" w:rsidRPr="00000000" w14:paraId="000001B7">
            <w:pPr>
              <w:rPr/>
            </w:pPr>
            <w:r w:rsidDel="00000000" w:rsidR="00000000" w:rsidRPr="00000000">
              <w:rPr>
                <w:rtl w:val="0"/>
              </w:rPr>
              <w:t xml:space="preserve">0.360</w:t>
            </w:r>
          </w:p>
        </w:tc>
      </w:tr>
      <w:tr>
        <w:trPr>
          <w:cantSplit w:val="0"/>
          <w:tblHeader w:val="0"/>
        </w:trPr>
        <w:tc>
          <w:tcPr/>
          <w:p w:rsidR="00000000" w:rsidDel="00000000" w:rsidP="00000000" w:rsidRDefault="00000000" w:rsidRPr="00000000" w14:paraId="000001B8">
            <w:pPr>
              <w:rPr/>
            </w:pPr>
            <w:r w:rsidDel="00000000" w:rsidR="00000000" w:rsidRPr="00000000">
              <w:rPr>
                <w:rtl w:val="0"/>
              </w:rPr>
              <w:t xml:space="preserve">log(tid siden skade + 1)</w:t>
            </w:r>
          </w:p>
        </w:tc>
        <w:tc>
          <w:tcPr/>
          <w:p w:rsidR="00000000" w:rsidDel="00000000" w:rsidP="00000000" w:rsidRDefault="00000000" w:rsidRPr="00000000" w14:paraId="000001B9">
            <w:pPr>
              <w:rPr/>
            </w:pPr>
            <w:r w:rsidDel="00000000" w:rsidR="00000000" w:rsidRPr="00000000">
              <w:rPr>
                <w:rtl w:val="0"/>
              </w:rPr>
              <w:t xml:space="preserve">-219.861</w:t>
            </w:r>
          </w:p>
        </w:tc>
        <w:tc>
          <w:tcPr/>
          <w:p w:rsidR="00000000" w:rsidDel="00000000" w:rsidP="00000000" w:rsidRDefault="00000000" w:rsidRPr="00000000" w14:paraId="000001BA">
            <w:pPr>
              <w:rPr/>
            </w:pPr>
            <w:r w:rsidDel="00000000" w:rsidR="00000000" w:rsidRPr="00000000">
              <w:rPr>
                <w:rtl w:val="0"/>
              </w:rPr>
              <w:t xml:space="preserve">243.939</w:t>
            </w:r>
          </w:p>
        </w:tc>
        <w:tc>
          <w:tcPr/>
          <w:p w:rsidR="00000000" w:rsidDel="00000000" w:rsidP="00000000" w:rsidRDefault="00000000" w:rsidRPr="00000000" w14:paraId="000001BB">
            <w:pPr>
              <w:rPr/>
            </w:pPr>
            <w:r w:rsidDel="00000000" w:rsidR="00000000" w:rsidRPr="00000000">
              <w:rPr>
                <w:rtl w:val="0"/>
              </w:rPr>
              <w:t xml:space="preserve">-697.972</w:t>
            </w:r>
          </w:p>
        </w:tc>
        <w:tc>
          <w:tcPr/>
          <w:p w:rsidR="00000000" w:rsidDel="00000000" w:rsidP="00000000" w:rsidRDefault="00000000" w:rsidRPr="00000000" w14:paraId="000001BC">
            <w:pPr>
              <w:rPr/>
            </w:pPr>
            <w:r w:rsidDel="00000000" w:rsidR="00000000" w:rsidRPr="00000000">
              <w:rPr>
                <w:rtl w:val="0"/>
              </w:rPr>
              <w:t xml:space="preserve">258.250</w:t>
            </w:r>
          </w:p>
        </w:tc>
        <w:tc>
          <w:tcPr/>
          <w:p w:rsidR="00000000" w:rsidDel="00000000" w:rsidP="00000000" w:rsidRDefault="00000000" w:rsidRPr="00000000" w14:paraId="000001BD">
            <w:pPr>
              <w:rPr/>
            </w:pPr>
            <w:r w:rsidDel="00000000" w:rsidR="00000000" w:rsidRPr="00000000">
              <w:rPr>
                <w:rtl w:val="0"/>
              </w:rPr>
              <w:t xml:space="preserve">0.367</w:t>
            </w:r>
          </w:p>
        </w:tc>
      </w:tr>
    </w:tbl>
    <w:p w:rsidR="00000000" w:rsidDel="00000000" w:rsidP="00000000" w:rsidRDefault="00000000" w:rsidRPr="00000000" w14:paraId="000001BE">
      <w:pPr>
        <w:rPr/>
      </w:pPr>
      <w:r w:rsidDel="00000000" w:rsidR="00000000" w:rsidRPr="00000000">
        <w:rPr>
          <w:rtl w:val="0"/>
        </w:rPr>
        <w:t xml:space="preserve">Note: RT-modellen er estimeret på evaluérbare observationer (RT_før &gt; 0,30 s) i henhold til den foruddefinerede regel for randtilfælde. Tid siden skade, beregnet som behandlingsdato minus skadesdato, indgår som kovariat i den aktuelle RT-regression.</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Tabel R6. Hovedpine (VAS) – stratificeret oversigt (n, gennemsnitlig ændring, responderandel). Én observation indgår som residualt stratum, hvor demografisk underklassifikation ikke kunne valideres i den aggregerede eksport.</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Tabel R5. Træthed – stratificeret oversigt (n, gennemsnitlig ændring, responderandel).</w:t>
      </w:r>
    </w:p>
    <w:tbl>
      <w:tblPr>
        <w:tblStyle w:val="Table11"/>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9"/>
        <w:gridCol w:w="960"/>
        <w:gridCol w:w="1419"/>
        <w:gridCol w:w="901"/>
        <w:gridCol w:w="653"/>
        <w:gridCol w:w="1511"/>
        <w:gridCol w:w="1677"/>
        <w:tblGridChange w:id="0">
          <w:tblGrid>
            <w:gridCol w:w="1509"/>
            <w:gridCol w:w="960"/>
            <w:gridCol w:w="1419"/>
            <w:gridCol w:w="901"/>
            <w:gridCol w:w="653"/>
            <w:gridCol w:w="1511"/>
            <w:gridCol w:w="1677"/>
          </w:tblGrid>
        </w:tblGridChange>
      </w:tblGrid>
      <w:tr>
        <w:trPr>
          <w:cantSplit w:val="0"/>
          <w:tblHeader w:val="1"/>
        </w:trPr>
        <w:tc>
          <w:tcPr>
            <w:vAlign w:val="center"/>
          </w:tcPr>
          <w:p w:rsidR="00000000" w:rsidDel="00000000" w:rsidP="00000000" w:rsidRDefault="00000000" w:rsidRPr="00000000" w14:paraId="000001C3">
            <w:pPr>
              <w:rPr/>
            </w:pPr>
            <w:r w:rsidDel="00000000" w:rsidR="00000000" w:rsidRPr="00000000">
              <w:rPr>
                <w:rtl w:val="0"/>
              </w:rPr>
              <w:t xml:space="preserve">Kohorte</w:t>
            </w:r>
          </w:p>
        </w:tc>
        <w:tc>
          <w:tcPr>
            <w:vAlign w:val="center"/>
          </w:tcPr>
          <w:p w:rsidR="00000000" w:rsidDel="00000000" w:rsidP="00000000" w:rsidRDefault="00000000" w:rsidRPr="00000000" w14:paraId="000001C4">
            <w:pPr>
              <w:rPr/>
            </w:pPr>
            <w:r w:rsidDel="00000000" w:rsidR="00000000" w:rsidRPr="00000000">
              <w:rPr>
                <w:rtl w:val="0"/>
              </w:rPr>
              <w:t xml:space="preserve">Køn</w:t>
            </w:r>
          </w:p>
        </w:tc>
        <w:tc>
          <w:tcPr>
            <w:vAlign w:val="center"/>
          </w:tcPr>
          <w:p w:rsidR="00000000" w:rsidDel="00000000" w:rsidP="00000000" w:rsidRDefault="00000000" w:rsidRPr="00000000" w14:paraId="000001C5">
            <w:pPr>
              <w:rPr/>
            </w:pPr>
            <w:r w:rsidDel="00000000" w:rsidR="00000000" w:rsidRPr="00000000">
              <w:rPr>
                <w:rtl w:val="0"/>
              </w:rPr>
              <w:t xml:space="preserve">Aldersgruppe</w:t>
            </w:r>
          </w:p>
        </w:tc>
        <w:tc>
          <w:tcPr>
            <w:vAlign w:val="center"/>
          </w:tcPr>
          <w:p w:rsidR="00000000" w:rsidDel="00000000" w:rsidP="00000000" w:rsidRDefault="00000000" w:rsidRPr="00000000" w14:paraId="000001C6">
            <w:pPr>
              <w:rPr/>
            </w:pPr>
            <w:r w:rsidDel="00000000" w:rsidR="00000000" w:rsidRPr="00000000">
              <w:rPr>
                <w:rtl w:val="0"/>
              </w:rPr>
              <w:t xml:space="preserve">Tid siden skade</w:t>
            </w:r>
          </w:p>
        </w:tc>
        <w:tc>
          <w:tcPr>
            <w:vAlign w:val="center"/>
          </w:tcPr>
          <w:p w:rsidR="00000000" w:rsidDel="00000000" w:rsidP="00000000" w:rsidRDefault="00000000" w:rsidRPr="00000000" w14:paraId="000001C7">
            <w:pPr>
              <w:rPr/>
            </w:pPr>
            <w:r w:rsidDel="00000000" w:rsidR="00000000" w:rsidRPr="00000000">
              <w:rPr>
                <w:rtl w:val="0"/>
              </w:rPr>
              <w:t xml:space="preserve">N</w:t>
            </w:r>
          </w:p>
        </w:tc>
        <w:tc>
          <w:tcPr>
            <w:vAlign w:val="center"/>
          </w:tcPr>
          <w:p w:rsidR="00000000" w:rsidDel="00000000" w:rsidP="00000000" w:rsidRDefault="00000000" w:rsidRPr="00000000" w14:paraId="000001C8">
            <w:pPr>
              <w:rPr/>
            </w:pPr>
            <w:r w:rsidDel="00000000" w:rsidR="00000000" w:rsidRPr="00000000">
              <w:rPr>
                <w:rtl w:val="0"/>
              </w:rPr>
              <w:t xml:space="preserve">Gennemsnitlig ændring</w:t>
            </w:r>
          </w:p>
        </w:tc>
        <w:tc>
          <w:tcPr>
            <w:vAlign w:val="center"/>
          </w:tcPr>
          <w:p w:rsidR="00000000" w:rsidDel="00000000" w:rsidP="00000000" w:rsidRDefault="00000000" w:rsidRPr="00000000" w14:paraId="000001C9">
            <w:pPr>
              <w:rPr/>
            </w:pPr>
            <w:r w:rsidDel="00000000" w:rsidR="00000000" w:rsidRPr="00000000">
              <w:rPr>
                <w:rtl w:val="0"/>
              </w:rPr>
              <w:t xml:space="preserve">Responderandel (%)</w:t>
            </w:r>
          </w:p>
        </w:tc>
      </w:tr>
      <w:tr>
        <w:trPr>
          <w:cantSplit w:val="0"/>
          <w:tblHeader w:val="0"/>
        </w:trPr>
        <w:tc>
          <w:tcPr>
            <w:vAlign w:val="center"/>
          </w:tcPr>
          <w:p w:rsidR="00000000" w:rsidDel="00000000" w:rsidP="00000000" w:rsidRDefault="00000000" w:rsidRPr="00000000" w14:paraId="000001CA">
            <w:pPr>
              <w:rPr/>
            </w:pPr>
            <w:r w:rsidDel="00000000" w:rsidR="00000000" w:rsidRPr="00000000">
              <w:rPr>
                <w:rtl w:val="0"/>
              </w:rPr>
              <w:t xml:space="preserve">Hjernerystelse</w:t>
            </w:r>
          </w:p>
        </w:tc>
        <w:tc>
          <w:tcPr>
            <w:vAlign w:val="center"/>
          </w:tcPr>
          <w:p w:rsidR="00000000" w:rsidDel="00000000" w:rsidP="00000000" w:rsidRDefault="00000000" w:rsidRPr="00000000" w14:paraId="000001CB">
            <w:pPr>
              <w:rPr/>
            </w:pPr>
            <w:r w:rsidDel="00000000" w:rsidR="00000000" w:rsidRPr="00000000">
              <w:rPr>
                <w:rtl w:val="0"/>
              </w:rPr>
              <w:t xml:space="preserve">Kvinde</w:t>
            </w:r>
          </w:p>
        </w:tc>
        <w:tc>
          <w:tcPr>
            <w:vAlign w:val="center"/>
          </w:tcPr>
          <w:p w:rsidR="00000000" w:rsidDel="00000000" w:rsidP="00000000" w:rsidRDefault="00000000" w:rsidRPr="00000000" w14:paraId="000001CC">
            <w:pPr>
              <w:rPr/>
            </w:pPr>
            <w:r w:rsidDel="00000000" w:rsidR="00000000" w:rsidRPr="00000000">
              <w:rPr>
                <w:rtl w:val="0"/>
              </w:rPr>
              <w:t xml:space="preserve">30–44</w:t>
            </w:r>
          </w:p>
        </w:tc>
        <w:tc>
          <w:tcPr>
            <w:vAlign w:val="center"/>
          </w:tcPr>
          <w:p w:rsidR="00000000" w:rsidDel="00000000" w:rsidP="00000000" w:rsidRDefault="00000000" w:rsidRPr="00000000" w14:paraId="000001CD">
            <w:pPr>
              <w:rPr/>
            </w:pPr>
            <w:r w:rsidDel="00000000" w:rsidR="00000000" w:rsidRPr="00000000">
              <w:rPr>
                <w:rtl w:val="0"/>
              </w:rPr>
              <w:t xml:space="preserve">1–&lt;3 år</w:t>
            </w:r>
          </w:p>
        </w:tc>
        <w:tc>
          <w:tcPr>
            <w:vAlign w:val="center"/>
          </w:tcPr>
          <w:p w:rsidR="00000000" w:rsidDel="00000000" w:rsidP="00000000" w:rsidRDefault="00000000" w:rsidRPr="00000000" w14:paraId="000001CE">
            <w:pPr>
              <w:rPr/>
            </w:pPr>
            <w:r w:rsidDel="00000000" w:rsidR="00000000" w:rsidRPr="00000000">
              <w:rPr>
                <w:rtl w:val="0"/>
              </w:rPr>
              <w:t xml:space="preserve">1</w:t>
            </w:r>
          </w:p>
        </w:tc>
        <w:tc>
          <w:tcPr>
            <w:vAlign w:val="center"/>
          </w:tcPr>
          <w:p w:rsidR="00000000" w:rsidDel="00000000" w:rsidP="00000000" w:rsidRDefault="00000000" w:rsidRPr="00000000" w14:paraId="000001CF">
            <w:pPr>
              <w:rPr/>
            </w:pPr>
            <w:r w:rsidDel="00000000" w:rsidR="00000000" w:rsidRPr="00000000">
              <w:rPr>
                <w:rtl w:val="0"/>
              </w:rPr>
              <w:t xml:space="preserve">1.33</w:t>
            </w:r>
          </w:p>
        </w:tc>
        <w:tc>
          <w:tcPr>
            <w:vAlign w:val="center"/>
          </w:tcPr>
          <w:p w:rsidR="00000000" w:rsidDel="00000000" w:rsidP="00000000" w:rsidRDefault="00000000" w:rsidRPr="00000000" w14:paraId="000001D0">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1D1">
            <w:pPr>
              <w:rPr/>
            </w:pPr>
            <w:r w:rsidDel="00000000" w:rsidR="00000000" w:rsidRPr="00000000">
              <w:rPr>
                <w:rtl w:val="0"/>
              </w:rPr>
              <w:t xml:space="preserve">Hjernerystelse</w:t>
            </w:r>
          </w:p>
        </w:tc>
        <w:tc>
          <w:tcPr>
            <w:vAlign w:val="center"/>
          </w:tcPr>
          <w:p w:rsidR="00000000" w:rsidDel="00000000" w:rsidP="00000000" w:rsidRDefault="00000000" w:rsidRPr="00000000" w14:paraId="000001D2">
            <w:pPr>
              <w:rPr/>
            </w:pPr>
            <w:r w:rsidDel="00000000" w:rsidR="00000000" w:rsidRPr="00000000">
              <w:rPr>
                <w:rtl w:val="0"/>
              </w:rPr>
              <w:t xml:space="preserve">Kvinde</w:t>
            </w:r>
          </w:p>
        </w:tc>
        <w:tc>
          <w:tcPr>
            <w:vAlign w:val="center"/>
          </w:tcPr>
          <w:p w:rsidR="00000000" w:rsidDel="00000000" w:rsidP="00000000" w:rsidRDefault="00000000" w:rsidRPr="00000000" w14:paraId="000001D3">
            <w:pPr>
              <w:rPr/>
            </w:pPr>
            <w:r w:rsidDel="00000000" w:rsidR="00000000" w:rsidRPr="00000000">
              <w:rPr>
                <w:rtl w:val="0"/>
              </w:rPr>
              <w:t xml:space="preserve">30–44</w:t>
            </w:r>
          </w:p>
        </w:tc>
        <w:tc>
          <w:tcPr>
            <w:vAlign w:val="center"/>
          </w:tcPr>
          <w:p w:rsidR="00000000" w:rsidDel="00000000" w:rsidP="00000000" w:rsidRDefault="00000000" w:rsidRPr="00000000" w14:paraId="000001D4">
            <w:pPr>
              <w:rPr/>
            </w:pPr>
            <w:r w:rsidDel="00000000" w:rsidR="00000000" w:rsidRPr="00000000">
              <w:rPr>
                <w:rtl w:val="0"/>
              </w:rPr>
              <w:t xml:space="preserve">3–&lt;6 år</w:t>
            </w:r>
          </w:p>
        </w:tc>
        <w:tc>
          <w:tcPr>
            <w:vAlign w:val="center"/>
          </w:tcPr>
          <w:p w:rsidR="00000000" w:rsidDel="00000000" w:rsidP="00000000" w:rsidRDefault="00000000" w:rsidRPr="00000000" w14:paraId="000001D5">
            <w:pPr>
              <w:rPr/>
            </w:pPr>
            <w:r w:rsidDel="00000000" w:rsidR="00000000" w:rsidRPr="00000000">
              <w:rPr>
                <w:rtl w:val="0"/>
              </w:rPr>
              <w:t xml:space="preserve">3</w:t>
            </w:r>
          </w:p>
        </w:tc>
        <w:tc>
          <w:tcPr>
            <w:vAlign w:val="center"/>
          </w:tcPr>
          <w:p w:rsidR="00000000" w:rsidDel="00000000" w:rsidP="00000000" w:rsidRDefault="00000000" w:rsidRPr="00000000" w14:paraId="000001D6">
            <w:pPr>
              <w:rPr/>
            </w:pPr>
            <w:r w:rsidDel="00000000" w:rsidR="00000000" w:rsidRPr="00000000">
              <w:rPr>
                <w:rtl w:val="0"/>
              </w:rPr>
              <w:t xml:space="preserve">2.56</w:t>
            </w:r>
          </w:p>
        </w:tc>
        <w:tc>
          <w:tcPr>
            <w:vAlign w:val="center"/>
          </w:tcPr>
          <w:p w:rsidR="00000000" w:rsidDel="00000000" w:rsidP="00000000" w:rsidRDefault="00000000" w:rsidRPr="00000000" w14:paraId="000001D7">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1D8">
            <w:pPr>
              <w:rPr/>
            </w:pPr>
            <w:r w:rsidDel="00000000" w:rsidR="00000000" w:rsidRPr="00000000">
              <w:rPr>
                <w:rtl w:val="0"/>
              </w:rPr>
              <w:t xml:space="preserve">Hjernerystelse</w:t>
            </w:r>
          </w:p>
        </w:tc>
        <w:tc>
          <w:tcPr>
            <w:vAlign w:val="center"/>
          </w:tcPr>
          <w:p w:rsidR="00000000" w:rsidDel="00000000" w:rsidP="00000000" w:rsidRDefault="00000000" w:rsidRPr="00000000" w14:paraId="000001D9">
            <w:pPr>
              <w:rPr/>
            </w:pPr>
            <w:r w:rsidDel="00000000" w:rsidR="00000000" w:rsidRPr="00000000">
              <w:rPr>
                <w:rtl w:val="0"/>
              </w:rPr>
              <w:t xml:space="preserve">Kvinde</w:t>
            </w:r>
          </w:p>
        </w:tc>
        <w:tc>
          <w:tcPr>
            <w:vAlign w:val="center"/>
          </w:tcPr>
          <w:p w:rsidR="00000000" w:rsidDel="00000000" w:rsidP="00000000" w:rsidRDefault="00000000" w:rsidRPr="00000000" w14:paraId="000001DA">
            <w:pPr>
              <w:rPr/>
            </w:pPr>
            <w:r w:rsidDel="00000000" w:rsidR="00000000" w:rsidRPr="00000000">
              <w:rPr>
                <w:rtl w:val="0"/>
              </w:rPr>
              <w:t xml:space="preserve">45–59</w:t>
            </w:r>
          </w:p>
        </w:tc>
        <w:tc>
          <w:tcPr>
            <w:vAlign w:val="center"/>
          </w:tcPr>
          <w:p w:rsidR="00000000" w:rsidDel="00000000" w:rsidP="00000000" w:rsidRDefault="00000000" w:rsidRPr="00000000" w14:paraId="000001DB">
            <w:pPr>
              <w:rPr/>
            </w:pPr>
            <w:r w:rsidDel="00000000" w:rsidR="00000000" w:rsidRPr="00000000">
              <w:rPr>
                <w:rtl w:val="0"/>
              </w:rPr>
              <w:t xml:space="preserve">1–&lt;3 år</w:t>
            </w:r>
          </w:p>
        </w:tc>
        <w:tc>
          <w:tcPr>
            <w:vAlign w:val="center"/>
          </w:tcPr>
          <w:p w:rsidR="00000000" w:rsidDel="00000000" w:rsidP="00000000" w:rsidRDefault="00000000" w:rsidRPr="00000000" w14:paraId="000001DC">
            <w:pPr>
              <w:rPr/>
            </w:pPr>
            <w:r w:rsidDel="00000000" w:rsidR="00000000" w:rsidRPr="00000000">
              <w:rPr>
                <w:rtl w:val="0"/>
              </w:rPr>
              <w:t xml:space="preserve">3</w:t>
            </w:r>
          </w:p>
        </w:tc>
        <w:tc>
          <w:tcPr>
            <w:vAlign w:val="center"/>
          </w:tcPr>
          <w:p w:rsidR="00000000" w:rsidDel="00000000" w:rsidP="00000000" w:rsidRDefault="00000000" w:rsidRPr="00000000" w14:paraId="000001DD">
            <w:pPr>
              <w:rPr/>
            </w:pPr>
            <w:r w:rsidDel="00000000" w:rsidR="00000000" w:rsidRPr="00000000">
              <w:rPr>
                <w:rtl w:val="0"/>
              </w:rPr>
              <w:t xml:space="preserve">1.68</w:t>
            </w:r>
          </w:p>
        </w:tc>
        <w:tc>
          <w:tcPr>
            <w:vAlign w:val="center"/>
          </w:tcPr>
          <w:p w:rsidR="00000000" w:rsidDel="00000000" w:rsidP="00000000" w:rsidRDefault="00000000" w:rsidRPr="00000000" w14:paraId="000001DE">
            <w:pPr>
              <w:rPr/>
            </w:pPr>
            <w:r w:rsidDel="00000000" w:rsidR="00000000" w:rsidRPr="00000000">
              <w:rPr>
                <w:rtl w:val="0"/>
              </w:rPr>
              <w:t xml:space="preserve">67</w:t>
            </w:r>
          </w:p>
        </w:tc>
      </w:tr>
      <w:tr>
        <w:trPr>
          <w:cantSplit w:val="0"/>
          <w:tblHeader w:val="0"/>
        </w:trPr>
        <w:tc>
          <w:tcPr>
            <w:vAlign w:val="center"/>
          </w:tcPr>
          <w:p w:rsidR="00000000" w:rsidDel="00000000" w:rsidP="00000000" w:rsidRDefault="00000000" w:rsidRPr="00000000" w14:paraId="000001DF">
            <w:pPr>
              <w:rPr/>
            </w:pPr>
            <w:r w:rsidDel="00000000" w:rsidR="00000000" w:rsidRPr="00000000">
              <w:rPr>
                <w:rtl w:val="0"/>
              </w:rPr>
              <w:t xml:space="preserve">Hjernerystelse</w:t>
            </w:r>
          </w:p>
        </w:tc>
        <w:tc>
          <w:tcPr>
            <w:vAlign w:val="center"/>
          </w:tcPr>
          <w:p w:rsidR="00000000" w:rsidDel="00000000" w:rsidP="00000000" w:rsidRDefault="00000000" w:rsidRPr="00000000" w14:paraId="000001E0">
            <w:pPr>
              <w:rPr/>
            </w:pPr>
            <w:r w:rsidDel="00000000" w:rsidR="00000000" w:rsidRPr="00000000">
              <w:rPr>
                <w:rtl w:val="0"/>
              </w:rPr>
              <w:t xml:space="preserve">Kvinde</w:t>
            </w:r>
          </w:p>
        </w:tc>
        <w:tc>
          <w:tcPr>
            <w:vAlign w:val="center"/>
          </w:tcPr>
          <w:p w:rsidR="00000000" w:rsidDel="00000000" w:rsidP="00000000" w:rsidRDefault="00000000" w:rsidRPr="00000000" w14:paraId="000001E1">
            <w:pPr>
              <w:rPr/>
            </w:pPr>
            <w:r w:rsidDel="00000000" w:rsidR="00000000" w:rsidRPr="00000000">
              <w:rPr>
                <w:rtl w:val="0"/>
              </w:rPr>
              <w:t xml:space="preserve">45–59</w:t>
            </w:r>
          </w:p>
        </w:tc>
        <w:tc>
          <w:tcPr>
            <w:vAlign w:val="center"/>
          </w:tcPr>
          <w:p w:rsidR="00000000" w:rsidDel="00000000" w:rsidP="00000000" w:rsidRDefault="00000000" w:rsidRPr="00000000" w14:paraId="000001E2">
            <w:pPr>
              <w:rPr/>
            </w:pPr>
            <w:r w:rsidDel="00000000" w:rsidR="00000000" w:rsidRPr="00000000">
              <w:rPr>
                <w:rtl w:val="0"/>
              </w:rPr>
              <w:t xml:space="preserve">3–&lt;6 år</w:t>
            </w:r>
          </w:p>
        </w:tc>
        <w:tc>
          <w:tcPr>
            <w:vAlign w:val="center"/>
          </w:tcPr>
          <w:p w:rsidR="00000000" w:rsidDel="00000000" w:rsidP="00000000" w:rsidRDefault="00000000" w:rsidRPr="00000000" w14:paraId="000001E3">
            <w:pPr>
              <w:rPr/>
            </w:pPr>
            <w:r w:rsidDel="00000000" w:rsidR="00000000" w:rsidRPr="00000000">
              <w:rPr>
                <w:rtl w:val="0"/>
              </w:rPr>
              <w:t xml:space="preserve">3</w:t>
            </w:r>
          </w:p>
        </w:tc>
        <w:tc>
          <w:tcPr>
            <w:vAlign w:val="center"/>
          </w:tcPr>
          <w:p w:rsidR="00000000" w:rsidDel="00000000" w:rsidP="00000000" w:rsidRDefault="00000000" w:rsidRPr="00000000" w14:paraId="000001E4">
            <w:pPr>
              <w:rPr/>
            </w:pPr>
            <w:r w:rsidDel="00000000" w:rsidR="00000000" w:rsidRPr="00000000">
              <w:rPr>
                <w:rtl w:val="0"/>
              </w:rPr>
              <w:t xml:space="preserve">2.28</w:t>
            </w:r>
          </w:p>
        </w:tc>
        <w:tc>
          <w:tcPr>
            <w:vAlign w:val="center"/>
          </w:tcPr>
          <w:p w:rsidR="00000000" w:rsidDel="00000000" w:rsidP="00000000" w:rsidRDefault="00000000" w:rsidRPr="00000000" w14:paraId="000001E5">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1E6">
            <w:pPr>
              <w:rPr/>
            </w:pPr>
            <w:r w:rsidDel="00000000" w:rsidR="00000000" w:rsidRPr="00000000">
              <w:rPr>
                <w:rtl w:val="0"/>
              </w:rPr>
              <w:t xml:space="preserve">Hjernerystelse</w:t>
            </w:r>
          </w:p>
        </w:tc>
        <w:tc>
          <w:tcPr>
            <w:vAlign w:val="center"/>
          </w:tcPr>
          <w:p w:rsidR="00000000" w:rsidDel="00000000" w:rsidP="00000000" w:rsidRDefault="00000000" w:rsidRPr="00000000" w14:paraId="000001E7">
            <w:pPr>
              <w:rPr/>
            </w:pPr>
            <w:r w:rsidDel="00000000" w:rsidR="00000000" w:rsidRPr="00000000">
              <w:rPr>
                <w:rtl w:val="0"/>
              </w:rPr>
              <w:t xml:space="preserve">Kvinde</w:t>
            </w:r>
          </w:p>
        </w:tc>
        <w:tc>
          <w:tcPr>
            <w:vAlign w:val="center"/>
          </w:tcPr>
          <w:p w:rsidR="00000000" w:rsidDel="00000000" w:rsidP="00000000" w:rsidRDefault="00000000" w:rsidRPr="00000000" w14:paraId="000001E8">
            <w:pPr>
              <w:rPr/>
            </w:pPr>
            <w:r w:rsidDel="00000000" w:rsidR="00000000" w:rsidRPr="00000000">
              <w:rPr>
                <w:rtl w:val="0"/>
              </w:rPr>
              <w:t xml:space="preserve">45–59</w:t>
            </w:r>
          </w:p>
        </w:tc>
        <w:tc>
          <w:tcPr>
            <w:vAlign w:val="center"/>
          </w:tcPr>
          <w:p w:rsidR="00000000" w:rsidDel="00000000" w:rsidP="00000000" w:rsidRDefault="00000000" w:rsidRPr="00000000" w14:paraId="000001E9">
            <w:pPr>
              <w:rPr/>
            </w:pPr>
            <w:r w:rsidDel="00000000" w:rsidR="00000000" w:rsidRPr="00000000">
              <w:rPr>
                <w:rtl w:val="0"/>
              </w:rPr>
              <w:t xml:space="preserve">≥6 år</w:t>
            </w:r>
          </w:p>
        </w:tc>
        <w:tc>
          <w:tcPr>
            <w:vAlign w:val="center"/>
          </w:tcPr>
          <w:p w:rsidR="00000000" w:rsidDel="00000000" w:rsidP="00000000" w:rsidRDefault="00000000" w:rsidRPr="00000000" w14:paraId="000001EA">
            <w:pPr>
              <w:rPr/>
            </w:pPr>
            <w:r w:rsidDel="00000000" w:rsidR="00000000" w:rsidRPr="00000000">
              <w:rPr>
                <w:rtl w:val="0"/>
              </w:rPr>
              <w:t xml:space="preserve">3</w:t>
            </w:r>
          </w:p>
        </w:tc>
        <w:tc>
          <w:tcPr>
            <w:vAlign w:val="center"/>
          </w:tcPr>
          <w:p w:rsidR="00000000" w:rsidDel="00000000" w:rsidP="00000000" w:rsidRDefault="00000000" w:rsidRPr="00000000" w14:paraId="000001EB">
            <w:pPr>
              <w:rPr/>
            </w:pPr>
            <w:r w:rsidDel="00000000" w:rsidR="00000000" w:rsidRPr="00000000">
              <w:rPr>
                <w:rtl w:val="0"/>
              </w:rPr>
              <w:t xml:space="preserve">0.7</w:t>
            </w:r>
          </w:p>
        </w:tc>
        <w:tc>
          <w:tcPr>
            <w:vAlign w:val="center"/>
          </w:tcPr>
          <w:p w:rsidR="00000000" w:rsidDel="00000000" w:rsidP="00000000" w:rsidRDefault="00000000" w:rsidRPr="00000000" w14:paraId="000001EC">
            <w:pPr>
              <w:rPr/>
            </w:pPr>
            <w:r w:rsidDel="00000000" w:rsidR="00000000" w:rsidRPr="00000000">
              <w:rPr>
                <w:rtl w:val="0"/>
              </w:rPr>
              <w:t xml:space="preserve">33</w:t>
            </w:r>
          </w:p>
        </w:tc>
      </w:tr>
      <w:tr>
        <w:trPr>
          <w:cantSplit w:val="0"/>
          <w:tblHeader w:val="0"/>
        </w:trPr>
        <w:tc>
          <w:tcPr>
            <w:vAlign w:val="center"/>
          </w:tcPr>
          <w:p w:rsidR="00000000" w:rsidDel="00000000" w:rsidP="00000000" w:rsidRDefault="00000000" w:rsidRPr="00000000" w14:paraId="000001ED">
            <w:pPr>
              <w:rPr/>
            </w:pPr>
            <w:r w:rsidDel="00000000" w:rsidR="00000000" w:rsidRPr="00000000">
              <w:rPr>
                <w:rtl w:val="0"/>
              </w:rPr>
              <w:t xml:space="preserve">Hjernerystelse</w:t>
            </w:r>
          </w:p>
        </w:tc>
        <w:tc>
          <w:tcPr>
            <w:vAlign w:val="center"/>
          </w:tcPr>
          <w:p w:rsidR="00000000" w:rsidDel="00000000" w:rsidP="00000000" w:rsidRDefault="00000000" w:rsidRPr="00000000" w14:paraId="000001EE">
            <w:pPr>
              <w:rPr/>
            </w:pPr>
            <w:r w:rsidDel="00000000" w:rsidR="00000000" w:rsidRPr="00000000">
              <w:rPr>
                <w:rtl w:val="0"/>
              </w:rPr>
              <w:t xml:space="preserve">Kvinde</w:t>
            </w:r>
          </w:p>
        </w:tc>
        <w:tc>
          <w:tcPr>
            <w:vAlign w:val="center"/>
          </w:tcPr>
          <w:p w:rsidR="00000000" w:rsidDel="00000000" w:rsidP="00000000" w:rsidRDefault="00000000" w:rsidRPr="00000000" w14:paraId="000001EF">
            <w:pPr>
              <w:rPr/>
            </w:pPr>
            <w:r w:rsidDel="00000000" w:rsidR="00000000" w:rsidRPr="00000000">
              <w:rPr>
                <w:rtl w:val="0"/>
              </w:rPr>
              <w:t xml:space="preserve">&lt;30</w:t>
            </w:r>
          </w:p>
        </w:tc>
        <w:tc>
          <w:tcPr>
            <w:vAlign w:val="center"/>
          </w:tcPr>
          <w:p w:rsidR="00000000" w:rsidDel="00000000" w:rsidP="00000000" w:rsidRDefault="00000000" w:rsidRPr="00000000" w14:paraId="000001F0">
            <w:pPr>
              <w:rPr/>
            </w:pPr>
            <w:r w:rsidDel="00000000" w:rsidR="00000000" w:rsidRPr="00000000">
              <w:rPr>
                <w:rtl w:val="0"/>
              </w:rPr>
              <w:t xml:space="preserve">1–&lt;3 år</w:t>
            </w:r>
          </w:p>
        </w:tc>
        <w:tc>
          <w:tcPr>
            <w:vAlign w:val="center"/>
          </w:tcPr>
          <w:p w:rsidR="00000000" w:rsidDel="00000000" w:rsidP="00000000" w:rsidRDefault="00000000" w:rsidRPr="00000000" w14:paraId="000001F1">
            <w:pPr>
              <w:rPr/>
            </w:pPr>
            <w:r w:rsidDel="00000000" w:rsidR="00000000" w:rsidRPr="00000000">
              <w:rPr>
                <w:rtl w:val="0"/>
              </w:rPr>
              <w:t xml:space="preserve">3</w:t>
            </w:r>
          </w:p>
        </w:tc>
        <w:tc>
          <w:tcPr>
            <w:vAlign w:val="center"/>
          </w:tcPr>
          <w:p w:rsidR="00000000" w:rsidDel="00000000" w:rsidP="00000000" w:rsidRDefault="00000000" w:rsidRPr="00000000" w14:paraId="000001F2">
            <w:pPr>
              <w:rPr/>
            </w:pPr>
            <w:r w:rsidDel="00000000" w:rsidR="00000000" w:rsidRPr="00000000">
              <w:rPr>
                <w:rtl w:val="0"/>
              </w:rPr>
              <w:t xml:space="preserve">0.81</w:t>
            </w:r>
          </w:p>
        </w:tc>
        <w:tc>
          <w:tcPr>
            <w:vAlign w:val="center"/>
          </w:tcPr>
          <w:p w:rsidR="00000000" w:rsidDel="00000000" w:rsidP="00000000" w:rsidRDefault="00000000" w:rsidRPr="00000000" w14:paraId="000001F3">
            <w:pPr>
              <w:rPr/>
            </w:pPr>
            <w:r w:rsidDel="00000000" w:rsidR="00000000" w:rsidRPr="00000000">
              <w:rPr>
                <w:rtl w:val="0"/>
              </w:rPr>
              <w:t xml:space="preserve">33</w:t>
            </w:r>
          </w:p>
        </w:tc>
      </w:tr>
      <w:tr>
        <w:trPr>
          <w:cantSplit w:val="0"/>
          <w:tblHeader w:val="0"/>
        </w:trPr>
        <w:tc>
          <w:tcPr>
            <w:vAlign w:val="center"/>
          </w:tcPr>
          <w:p w:rsidR="00000000" w:rsidDel="00000000" w:rsidP="00000000" w:rsidRDefault="00000000" w:rsidRPr="00000000" w14:paraId="000001F4">
            <w:pPr>
              <w:rPr/>
            </w:pPr>
            <w:r w:rsidDel="00000000" w:rsidR="00000000" w:rsidRPr="00000000">
              <w:rPr>
                <w:rtl w:val="0"/>
              </w:rPr>
              <w:t xml:space="preserve">Hjernerystelse</w:t>
            </w:r>
          </w:p>
        </w:tc>
        <w:tc>
          <w:tcPr>
            <w:vAlign w:val="center"/>
          </w:tcPr>
          <w:p w:rsidR="00000000" w:rsidDel="00000000" w:rsidP="00000000" w:rsidRDefault="00000000" w:rsidRPr="00000000" w14:paraId="000001F5">
            <w:pPr>
              <w:rPr/>
            </w:pPr>
            <w:r w:rsidDel="00000000" w:rsidR="00000000" w:rsidRPr="00000000">
              <w:rPr>
                <w:rtl w:val="0"/>
              </w:rPr>
              <w:t xml:space="preserve">Kvinde</w:t>
            </w:r>
          </w:p>
        </w:tc>
        <w:tc>
          <w:tcPr>
            <w:vAlign w:val="center"/>
          </w:tcPr>
          <w:p w:rsidR="00000000" w:rsidDel="00000000" w:rsidP="00000000" w:rsidRDefault="00000000" w:rsidRPr="00000000" w14:paraId="000001F6">
            <w:pPr>
              <w:rPr/>
            </w:pPr>
            <w:r w:rsidDel="00000000" w:rsidR="00000000" w:rsidRPr="00000000">
              <w:rPr>
                <w:rtl w:val="0"/>
              </w:rPr>
              <w:t xml:space="preserve">&lt;30</w:t>
            </w:r>
          </w:p>
        </w:tc>
        <w:tc>
          <w:tcPr>
            <w:vAlign w:val="center"/>
          </w:tcPr>
          <w:p w:rsidR="00000000" w:rsidDel="00000000" w:rsidP="00000000" w:rsidRDefault="00000000" w:rsidRPr="00000000" w14:paraId="000001F7">
            <w:pPr>
              <w:rPr/>
            </w:pPr>
            <w:r w:rsidDel="00000000" w:rsidR="00000000" w:rsidRPr="00000000">
              <w:rPr>
                <w:rtl w:val="0"/>
              </w:rPr>
              <w:t xml:space="preserve">3–&lt;6 år</w:t>
            </w:r>
          </w:p>
        </w:tc>
        <w:tc>
          <w:tcPr>
            <w:vAlign w:val="center"/>
          </w:tcPr>
          <w:p w:rsidR="00000000" w:rsidDel="00000000" w:rsidP="00000000" w:rsidRDefault="00000000" w:rsidRPr="00000000" w14:paraId="000001F8">
            <w:pPr>
              <w:rPr/>
            </w:pPr>
            <w:r w:rsidDel="00000000" w:rsidR="00000000" w:rsidRPr="00000000">
              <w:rPr>
                <w:rtl w:val="0"/>
              </w:rPr>
              <w:t xml:space="preserve">2</w:t>
            </w:r>
          </w:p>
        </w:tc>
        <w:tc>
          <w:tcPr>
            <w:vAlign w:val="center"/>
          </w:tcPr>
          <w:p w:rsidR="00000000" w:rsidDel="00000000" w:rsidP="00000000" w:rsidRDefault="00000000" w:rsidRPr="00000000" w14:paraId="000001F9">
            <w:pPr>
              <w:rPr/>
            </w:pPr>
            <w:r w:rsidDel="00000000" w:rsidR="00000000" w:rsidRPr="00000000">
              <w:rPr>
                <w:rtl w:val="0"/>
              </w:rPr>
              <w:t xml:space="preserve">3.39</w:t>
            </w:r>
          </w:p>
        </w:tc>
        <w:tc>
          <w:tcPr>
            <w:vAlign w:val="center"/>
          </w:tcPr>
          <w:p w:rsidR="00000000" w:rsidDel="00000000" w:rsidP="00000000" w:rsidRDefault="00000000" w:rsidRPr="00000000" w14:paraId="000001FA">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1FB">
            <w:pPr>
              <w:rPr/>
            </w:pPr>
            <w:r w:rsidDel="00000000" w:rsidR="00000000" w:rsidRPr="00000000">
              <w:rPr>
                <w:rtl w:val="0"/>
              </w:rPr>
              <w:t xml:space="preserve">Hjernerystelse</w:t>
            </w:r>
          </w:p>
        </w:tc>
        <w:tc>
          <w:tcPr>
            <w:vAlign w:val="center"/>
          </w:tcPr>
          <w:p w:rsidR="00000000" w:rsidDel="00000000" w:rsidP="00000000" w:rsidRDefault="00000000" w:rsidRPr="00000000" w14:paraId="000001FC">
            <w:pPr>
              <w:rPr/>
            </w:pPr>
            <w:r w:rsidDel="00000000" w:rsidR="00000000" w:rsidRPr="00000000">
              <w:rPr>
                <w:rtl w:val="0"/>
              </w:rPr>
              <w:t xml:space="preserve">Mand</w:t>
            </w:r>
          </w:p>
        </w:tc>
        <w:tc>
          <w:tcPr>
            <w:vAlign w:val="center"/>
          </w:tcPr>
          <w:p w:rsidR="00000000" w:rsidDel="00000000" w:rsidP="00000000" w:rsidRDefault="00000000" w:rsidRPr="00000000" w14:paraId="000001FD">
            <w:pPr>
              <w:rPr/>
            </w:pPr>
            <w:r w:rsidDel="00000000" w:rsidR="00000000" w:rsidRPr="00000000">
              <w:rPr>
                <w:rtl w:val="0"/>
              </w:rPr>
              <w:t xml:space="preserve">30–44</w:t>
            </w:r>
          </w:p>
        </w:tc>
        <w:tc>
          <w:tcPr>
            <w:vAlign w:val="center"/>
          </w:tcPr>
          <w:p w:rsidR="00000000" w:rsidDel="00000000" w:rsidP="00000000" w:rsidRDefault="00000000" w:rsidRPr="00000000" w14:paraId="000001FE">
            <w:pPr>
              <w:rPr/>
            </w:pPr>
            <w:r w:rsidDel="00000000" w:rsidR="00000000" w:rsidRPr="00000000">
              <w:rPr>
                <w:rtl w:val="0"/>
              </w:rPr>
              <w:t xml:space="preserve">1–&lt;3 år</w:t>
            </w:r>
          </w:p>
        </w:tc>
        <w:tc>
          <w:tcPr>
            <w:vAlign w:val="center"/>
          </w:tcPr>
          <w:p w:rsidR="00000000" w:rsidDel="00000000" w:rsidP="00000000" w:rsidRDefault="00000000" w:rsidRPr="00000000" w14:paraId="000001FF">
            <w:pPr>
              <w:rPr/>
            </w:pPr>
            <w:r w:rsidDel="00000000" w:rsidR="00000000" w:rsidRPr="00000000">
              <w:rPr>
                <w:rtl w:val="0"/>
              </w:rPr>
              <w:t xml:space="preserve">1</w:t>
            </w:r>
          </w:p>
        </w:tc>
        <w:tc>
          <w:tcPr>
            <w:vAlign w:val="center"/>
          </w:tcPr>
          <w:p w:rsidR="00000000" w:rsidDel="00000000" w:rsidP="00000000" w:rsidRDefault="00000000" w:rsidRPr="00000000" w14:paraId="00000200">
            <w:pPr>
              <w:rPr/>
            </w:pPr>
            <w:r w:rsidDel="00000000" w:rsidR="00000000" w:rsidRPr="00000000">
              <w:rPr>
                <w:rtl w:val="0"/>
              </w:rPr>
              <w:t xml:space="preserve">3.0</w:t>
            </w:r>
          </w:p>
        </w:tc>
        <w:tc>
          <w:tcPr>
            <w:vAlign w:val="center"/>
          </w:tcPr>
          <w:p w:rsidR="00000000" w:rsidDel="00000000" w:rsidP="00000000" w:rsidRDefault="00000000" w:rsidRPr="00000000" w14:paraId="00000201">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02">
            <w:pPr>
              <w:rPr/>
            </w:pPr>
            <w:r w:rsidDel="00000000" w:rsidR="00000000" w:rsidRPr="00000000">
              <w:rPr>
                <w:rtl w:val="0"/>
              </w:rPr>
              <w:t xml:space="preserve">Hjernerystelse</w:t>
            </w:r>
          </w:p>
        </w:tc>
        <w:tc>
          <w:tcPr>
            <w:vAlign w:val="center"/>
          </w:tcPr>
          <w:p w:rsidR="00000000" w:rsidDel="00000000" w:rsidP="00000000" w:rsidRDefault="00000000" w:rsidRPr="00000000" w14:paraId="00000203">
            <w:pPr>
              <w:rPr/>
            </w:pPr>
            <w:r w:rsidDel="00000000" w:rsidR="00000000" w:rsidRPr="00000000">
              <w:rPr>
                <w:rtl w:val="0"/>
              </w:rPr>
              <w:t xml:space="preserve">Mand</w:t>
            </w:r>
          </w:p>
        </w:tc>
        <w:tc>
          <w:tcPr>
            <w:vAlign w:val="center"/>
          </w:tcPr>
          <w:p w:rsidR="00000000" w:rsidDel="00000000" w:rsidP="00000000" w:rsidRDefault="00000000" w:rsidRPr="00000000" w14:paraId="00000204">
            <w:pPr>
              <w:rPr/>
            </w:pPr>
            <w:r w:rsidDel="00000000" w:rsidR="00000000" w:rsidRPr="00000000">
              <w:rPr>
                <w:rtl w:val="0"/>
              </w:rPr>
              <w:t xml:space="preserve">45–59</w:t>
            </w:r>
          </w:p>
        </w:tc>
        <w:tc>
          <w:tcPr>
            <w:vAlign w:val="center"/>
          </w:tcPr>
          <w:p w:rsidR="00000000" w:rsidDel="00000000" w:rsidP="00000000" w:rsidRDefault="00000000" w:rsidRPr="00000000" w14:paraId="00000205">
            <w:pPr>
              <w:rPr/>
            </w:pPr>
            <w:r w:rsidDel="00000000" w:rsidR="00000000" w:rsidRPr="00000000">
              <w:rPr>
                <w:rtl w:val="0"/>
              </w:rPr>
              <w:t xml:space="preserve">1–&lt;3 år</w:t>
            </w:r>
          </w:p>
        </w:tc>
        <w:tc>
          <w:tcPr>
            <w:vAlign w:val="center"/>
          </w:tcPr>
          <w:p w:rsidR="00000000" w:rsidDel="00000000" w:rsidP="00000000" w:rsidRDefault="00000000" w:rsidRPr="00000000" w14:paraId="00000206">
            <w:pPr>
              <w:rPr/>
            </w:pPr>
            <w:r w:rsidDel="00000000" w:rsidR="00000000" w:rsidRPr="00000000">
              <w:rPr>
                <w:rtl w:val="0"/>
              </w:rPr>
              <w:t xml:space="preserve">2</w:t>
            </w:r>
          </w:p>
        </w:tc>
        <w:tc>
          <w:tcPr>
            <w:vAlign w:val="center"/>
          </w:tcPr>
          <w:p w:rsidR="00000000" w:rsidDel="00000000" w:rsidP="00000000" w:rsidRDefault="00000000" w:rsidRPr="00000000" w14:paraId="00000207">
            <w:pPr>
              <w:rPr/>
            </w:pPr>
            <w:r w:rsidDel="00000000" w:rsidR="00000000" w:rsidRPr="00000000">
              <w:rPr>
                <w:rtl w:val="0"/>
              </w:rPr>
              <w:t xml:space="preserve">0.51</w:t>
            </w:r>
          </w:p>
        </w:tc>
        <w:tc>
          <w:tcPr>
            <w:vAlign w:val="center"/>
          </w:tcPr>
          <w:p w:rsidR="00000000" w:rsidDel="00000000" w:rsidP="00000000" w:rsidRDefault="00000000" w:rsidRPr="00000000" w14:paraId="00000208">
            <w:pPr>
              <w:rPr/>
            </w:pPr>
            <w:r w:rsidDel="00000000" w:rsidR="00000000" w:rsidRPr="00000000">
              <w:rPr>
                <w:rtl w:val="0"/>
              </w:rPr>
              <w:t xml:space="preserve">0</w:t>
            </w:r>
          </w:p>
        </w:tc>
      </w:tr>
      <w:tr>
        <w:trPr>
          <w:cantSplit w:val="0"/>
          <w:tblHeader w:val="0"/>
        </w:trPr>
        <w:tc>
          <w:tcPr>
            <w:vAlign w:val="center"/>
          </w:tcPr>
          <w:p w:rsidR="00000000" w:rsidDel="00000000" w:rsidP="00000000" w:rsidRDefault="00000000" w:rsidRPr="00000000" w14:paraId="00000209">
            <w:pPr>
              <w:rPr/>
            </w:pPr>
            <w:r w:rsidDel="00000000" w:rsidR="00000000" w:rsidRPr="00000000">
              <w:rPr>
                <w:rtl w:val="0"/>
              </w:rPr>
              <w:t xml:space="preserve">Hjernerystelse</w:t>
            </w:r>
          </w:p>
        </w:tc>
        <w:tc>
          <w:tcPr>
            <w:vAlign w:val="center"/>
          </w:tcPr>
          <w:p w:rsidR="00000000" w:rsidDel="00000000" w:rsidP="00000000" w:rsidRDefault="00000000" w:rsidRPr="00000000" w14:paraId="0000020A">
            <w:pPr>
              <w:rPr/>
            </w:pPr>
            <w:r w:rsidDel="00000000" w:rsidR="00000000" w:rsidRPr="00000000">
              <w:rPr>
                <w:rtl w:val="0"/>
              </w:rPr>
              <w:t xml:space="preserve">Mand</w:t>
            </w:r>
          </w:p>
        </w:tc>
        <w:tc>
          <w:tcPr>
            <w:vAlign w:val="center"/>
          </w:tcPr>
          <w:p w:rsidR="00000000" w:rsidDel="00000000" w:rsidP="00000000" w:rsidRDefault="00000000" w:rsidRPr="00000000" w14:paraId="0000020B">
            <w:pPr>
              <w:rPr/>
            </w:pPr>
            <w:r w:rsidDel="00000000" w:rsidR="00000000" w:rsidRPr="00000000">
              <w:rPr>
                <w:rtl w:val="0"/>
              </w:rPr>
              <w:t xml:space="preserve">45–59</w:t>
            </w:r>
          </w:p>
        </w:tc>
        <w:tc>
          <w:tcPr>
            <w:vAlign w:val="center"/>
          </w:tcPr>
          <w:p w:rsidR="00000000" w:rsidDel="00000000" w:rsidP="00000000" w:rsidRDefault="00000000" w:rsidRPr="00000000" w14:paraId="0000020C">
            <w:pPr>
              <w:rPr/>
            </w:pPr>
            <w:r w:rsidDel="00000000" w:rsidR="00000000" w:rsidRPr="00000000">
              <w:rPr>
                <w:rtl w:val="0"/>
              </w:rPr>
              <w:t xml:space="preserve">≥6 år</w:t>
            </w:r>
          </w:p>
        </w:tc>
        <w:tc>
          <w:tcPr>
            <w:vAlign w:val="center"/>
          </w:tcPr>
          <w:p w:rsidR="00000000" w:rsidDel="00000000" w:rsidP="00000000" w:rsidRDefault="00000000" w:rsidRPr="00000000" w14:paraId="0000020D">
            <w:pPr>
              <w:rPr/>
            </w:pPr>
            <w:r w:rsidDel="00000000" w:rsidR="00000000" w:rsidRPr="00000000">
              <w:rPr>
                <w:rtl w:val="0"/>
              </w:rPr>
              <w:t xml:space="preserve">2</w:t>
            </w:r>
          </w:p>
        </w:tc>
        <w:tc>
          <w:tcPr>
            <w:vAlign w:val="center"/>
          </w:tcPr>
          <w:p w:rsidR="00000000" w:rsidDel="00000000" w:rsidP="00000000" w:rsidRDefault="00000000" w:rsidRPr="00000000" w14:paraId="0000020E">
            <w:pPr>
              <w:rPr/>
            </w:pPr>
            <w:r w:rsidDel="00000000" w:rsidR="00000000" w:rsidRPr="00000000">
              <w:rPr>
                <w:rtl w:val="0"/>
              </w:rPr>
              <w:t xml:space="preserve">2.56</w:t>
            </w:r>
          </w:p>
        </w:tc>
        <w:tc>
          <w:tcPr>
            <w:vAlign w:val="center"/>
          </w:tcPr>
          <w:p w:rsidR="00000000" w:rsidDel="00000000" w:rsidP="00000000" w:rsidRDefault="00000000" w:rsidRPr="00000000" w14:paraId="0000020F">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10">
            <w:pPr>
              <w:rPr/>
            </w:pPr>
            <w:r w:rsidDel="00000000" w:rsidR="00000000" w:rsidRPr="00000000">
              <w:rPr>
                <w:rtl w:val="0"/>
              </w:rPr>
              <w:t xml:space="preserve">Hjernerystelse</w:t>
            </w:r>
          </w:p>
        </w:tc>
        <w:tc>
          <w:tcPr>
            <w:vAlign w:val="center"/>
          </w:tcPr>
          <w:p w:rsidR="00000000" w:rsidDel="00000000" w:rsidP="00000000" w:rsidRDefault="00000000" w:rsidRPr="00000000" w14:paraId="00000211">
            <w:pPr>
              <w:rPr/>
            </w:pPr>
            <w:r w:rsidDel="00000000" w:rsidR="00000000" w:rsidRPr="00000000">
              <w:rPr>
                <w:rtl w:val="0"/>
              </w:rPr>
              <w:t xml:space="preserve">Mand</w:t>
            </w:r>
          </w:p>
        </w:tc>
        <w:tc>
          <w:tcPr>
            <w:vAlign w:val="center"/>
          </w:tcPr>
          <w:p w:rsidR="00000000" w:rsidDel="00000000" w:rsidP="00000000" w:rsidRDefault="00000000" w:rsidRPr="00000000" w14:paraId="00000212">
            <w:pPr>
              <w:rPr/>
            </w:pPr>
            <w:r w:rsidDel="00000000" w:rsidR="00000000" w:rsidRPr="00000000">
              <w:rPr>
                <w:rtl w:val="0"/>
              </w:rPr>
              <w:t xml:space="preserve">&lt;30</w:t>
            </w:r>
          </w:p>
        </w:tc>
        <w:tc>
          <w:tcPr>
            <w:vAlign w:val="center"/>
          </w:tcPr>
          <w:p w:rsidR="00000000" w:rsidDel="00000000" w:rsidP="00000000" w:rsidRDefault="00000000" w:rsidRPr="00000000" w14:paraId="00000213">
            <w:pPr>
              <w:rPr/>
            </w:pPr>
            <w:r w:rsidDel="00000000" w:rsidR="00000000" w:rsidRPr="00000000">
              <w:rPr>
                <w:rtl w:val="0"/>
              </w:rPr>
              <w:t xml:space="preserve">1–&lt;3 år</w:t>
            </w:r>
          </w:p>
        </w:tc>
        <w:tc>
          <w:tcPr>
            <w:vAlign w:val="center"/>
          </w:tcPr>
          <w:p w:rsidR="00000000" w:rsidDel="00000000" w:rsidP="00000000" w:rsidRDefault="00000000" w:rsidRPr="00000000" w14:paraId="00000214">
            <w:pPr>
              <w:rPr/>
            </w:pPr>
            <w:r w:rsidDel="00000000" w:rsidR="00000000" w:rsidRPr="00000000">
              <w:rPr>
                <w:rtl w:val="0"/>
              </w:rPr>
              <w:t xml:space="preserve">1</w:t>
            </w:r>
          </w:p>
        </w:tc>
        <w:tc>
          <w:tcPr>
            <w:vAlign w:val="center"/>
          </w:tcPr>
          <w:p w:rsidR="00000000" w:rsidDel="00000000" w:rsidP="00000000" w:rsidRDefault="00000000" w:rsidRPr="00000000" w14:paraId="00000215">
            <w:pPr>
              <w:rPr/>
            </w:pPr>
            <w:r w:rsidDel="00000000" w:rsidR="00000000" w:rsidRPr="00000000">
              <w:rPr>
                <w:rtl w:val="0"/>
              </w:rPr>
              <w:t xml:space="preserve">0.62</w:t>
            </w:r>
          </w:p>
        </w:tc>
        <w:tc>
          <w:tcPr>
            <w:vAlign w:val="center"/>
          </w:tcPr>
          <w:p w:rsidR="00000000" w:rsidDel="00000000" w:rsidP="00000000" w:rsidRDefault="00000000" w:rsidRPr="00000000" w14:paraId="00000216">
            <w:pPr>
              <w:rPr/>
            </w:pPr>
            <w:r w:rsidDel="00000000" w:rsidR="00000000" w:rsidRPr="00000000">
              <w:rPr>
                <w:rtl w:val="0"/>
              </w:rPr>
              <w:t xml:space="preserve">0</w:t>
            </w:r>
          </w:p>
        </w:tc>
      </w:tr>
      <w:tr>
        <w:trPr>
          <w:cantSplit w:val="0"/>
          <w:tblHeader w:val="0"/>
        </w:trPr>
        <w:tc>
          <w:tcPr>
            <w:vAlign w:val="center"/>
          </w:tcPr>
          <w:p w:rsidR="00000000" w:rsidDel="00000000" w:rsidP="00000000" w:rsidRDefault="00000000" w:rsidRPr="00000000" w14:paraId="00000217">
            <w:pPr>
              <w:rPr/>
            </w:pPr>
            <w:r w:rsidDel="00000000" w:rsidR="00000000" w:rsidRPr="00000000">
              <w:rPr>
                <w:rtl w:val="0"/>
              </w:rPr>
              <w:t xml:space="preserve">Hjernerystelse</w:t>
            </w:r>
          </w:p>
        </w:tc>
        <w:tc>
          <w:tcPr>
            <w:vAlign w:val="center"/>
          </w:tcPr>
          <w:p w:rsidR="00000000" w:rsidDel="00000000" w:rsidP="00000000" w:rsidRDefault="00000000" w:rsidRPr="00000000" w14:paraId="00000218">
            <w:pPr>
              <w:rPr/>
            </w:pPr>
            <w:r w:rsidDel="00000000" w:rsidR="00000000" w:rsidRPr="00000000">
              <w:rPr>
                <w:rtl w:val="0"/>
              </w:rPr>
              <w:t xml:space="preserve">Mand</w:t>
            </w:r>
          </w:p>
        </w:tc>
        <w:tc>
          <w:tcPr>
            <w:vAlign w:val="center"/>
          </w:tcPr>
          <w:p w:rsidR="00000000" w:rsidDel="00000000" w:rsidP="00000000" w:rsidRDefault="00000000" w:rsidRPr="00000000" w14:paraId="00000219">
            <w:pPr>
              <w:rPr/>
            </w:pPr>
            <w:r w:rsidDel="00000000" w:rsidR="00000000" w:rsidRPr="00000000">
              <w:rPr>
                <w:rtl w:val="0"/>
              </w:rPr>
              <w:t xml:space="preserve">&lt;30</w:t>
            </w:r>
          </w:p>
        </w:tc>
        <w:tc>
          <w:tcPr>
            <w:vAlign w:val="center"/>
          </w:tcPr>
          <w:p w:rsidR="00000000" w:rsidDel="00000000" w:rsidP="00000000" w:rsidRDefault="00000000" w:rsidRPr="00000000" w14:paraId="0000021A">
            <w:pPr>
              <w:rPr/>
            </w:pPr>
            <w:r w:rsidDel="00000000" w:rsidR="00000000" w:rsidRPr="00000000">
              <w:rPr>
                <w:rtl w:val="0"/>
              </w:rPr>
              <w:t xml:space="preserve">≥6 år</w:t>
            </w:r>
          </w:p>
        </w:tc>
        <w:tc>
          <w:tcPr>
            <w:vAlign w:val="center"/>
          </w:tcPr>
          <w:p w:rsidR="00000000" w:rsidDel="00000000" w:rsidP="00000000" w:rsidRDefault="00000000" w:rsidRPr="00000000" w14:paraId="0000021B">
            <w:pPr>
              <w:rPr/>
            </w:pPr>
            <w:r w:rsidDel="00000000" w:rsidR="00000000" w:rsidRPr="00000000">
              <w:rPr>
                <w:rtl w:val="0"/>
              </w:rPr>
              <w:t xml:space="preserve">2</w:t>
            </w:r>
          </w:p>
        </w:tc>
        <w:tc>
          <w:tcPr>
            <w:vAlign w:val="center"/>
          </w:tcPr>
          <w:p w:rsidR="00000000" w:rsidDel="00000000" w:rsidP="00000000" w:rsidRDefault="00000000" w:rsidRPr="00000000" w14:paraId="0000021C">
            <w:pPr>
              <w:rPr/>
            </w:pPr>
            <w:r w:rsidDel="00000000" w:rsidR="00000000" w:rsidRPr="00000000">
              <w:rPr>
                <w:rtl w:val="0"/>
              </w:rPr>
              <w:t xml:space="preserve">1.44</w:t>
            </w:r>
          </w:p>
        </w:tc>
        <w:tc>
          <w:tcPr>
            <w:vAlign w:val="center"/>
          </w:tcPr>
          <w:p w:rsidR="00000000" w:rsidDel="00000000" w:rsidP="00000000" w:rsidRDefault="00000000" w:rsidRPr="00000000" w14:paraId="0000021D">
            <w:pP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21E">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1F">
            <w:pPr>
              <w:rPr/>
            </w:pPr>
            <w:r w:rsidDel="00000000" w:rsidR="00000000" w:rsidRPr="00000000">
              <w:rPr>
                <w:rtl w:val="0"/>
              </w:rPr>
              <w:t xml:space="preserve">Kvinde</w:t>
            </w:r>
          </w:p>
        </w:tc>
        <w:tc>
          <w:tcPr>
            <w:vAlign w:val="center"/>
          </w:tcPr>
          <w:p w:rsidR="00000000" w:rsidDel="00000000" w:rsidP="00000000" w:rsidRDefault="00000000" w:rsidRPr="00000000" w14:paraId="00000220">
            <w:pPr>
              <w:rPr/>
            </w:pPr>
            <w:r w:rsidDel="00000000" w:rsidR="00000000" w:rsidRPr="00000000">
              <w:rPr>
                <w:rtl w:val="0"/>
              </w:rPr>
              <w:t xml:space="preserve">30–44</w:t>
            </w:r>
          </w:p>
        </w:tc>
        <w:tc>
          <w:tcPr>
            <w:vAlign w:val="center"/>
          </w:tcPr>
          <w:p w:rsidR="00000000" w:rsidDel="00000000" w:rsidP="00000000" w:rsidRDefault="00000000" w:rsidRPr="00000000" w14:paraId="00000221">
            <w:pPr>
              <w:rPr/>
            </w:pPr>
            <w:r w:rsidDel="00000000" w:rsidR="00000000" w:rsidRPr="00000000">
              <w:rPr>
                <w:rtl w:val="0"/>
              </w:rPr>
              <w:t xml:space="preserve">≥6 år</w:t>
            </w:r>
          </w:p>
        </w:tc>
        <w:tc>
          <w:tcPr>
            <w:vAlign w:val="center"/>
          </w:tcPr>
          <w:p w:rsidR="00000000" w:rsidDel="00000000" w:rsidP="00000000" w:rsidRDefault="00000000" w:rsidRPr="00000000" w14:paraId="00000222">
            <w:pPr>
              <w:rPr/>
            </w:pPr>
            <w:r w:rsidDel="00000000" w:rsidR="00000000" w:rsidRPr="00000000">
              <w:rPr>
                <w:rtl w:val="0"/>
              </w:rPr>
              <w:t xml:space="preserve">1</w:t>
            </w:r>
          </w:p>
        </w:tc>
        <w:tc>
          <w:tcPr>
            <w:vAlign w:val="center"/>
          </w:tcPr>
          <w:p w:rsidR="00000000" w:rsidDel="00000000" w:rsidP="00000000" w:rsidRDefault="00000000" w:rsidRPr="00000000" w14:paraId="00000223">
            <w:pPr>
              <w:rPr/>
            </w:pPr>
            <w:r w:rsidDel="00000000" w:rsidR="00000000" w:rsidRPr="00000000">
              <w:rPr>
                <w:rtl w:val="0"/>
              </w:rPr>
              <w:t xml:space="preserve">1.94</w:t>
            </w:r>
          </w:p>
        </w:tc>
        <w:tc>
          <w:tcPr>
            <w:vAlign w:val="center"/>
          </w:tcPr>
          <w:p w:rsidR="00000000" w:rsidDel="00000000" w:rsidP="00000000" w:rsidRDefault="00000000" w:rsidRPr="00000000" w14:paraId="00000224">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25">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26">
            <w:pPr>
              <w:rPr/>
            </w:pPr>
            <w:r w:rsidDel="00000000" w:rsidR="00000000" w:rsidRPr="00000000">
              <w:rPr>
                <w:rtl w:val="0"/>
              </w:rPr>
              <w:t xml:space="preserve">Kvinde</w:t>
            </w:r>
          </w:p>
        </w:tc>
        <w:tc>
          <w:tcPr>
            <w:vAlign w:val="center"/>
          </w:tcPr>
          <w:p w:rsidR="00000000" w:rsidDel="00000000" w:rsidP="00000000" w:rsidRDefault="00000000" w:rsidRPr="00000000" w14:paraId="00000227">
            <w:pPr>
              <w:rPr/>
            </w:pPr>
            <w:r w:rsidDel="00000000" w:rsidR="00000000" w:rsidRPr="00000000">
              <w:rPr>
                <w:rtl w:val="0"/>
              </w:rPr>
              <w:t xml:space="preserve">45–59</w:t>
            </w:r>
          </w:p>
        </w:tc>
        <w:tc>
          <w:tcPr>
            <w:vAlign w:val="center"/>
          </w:tcPr>
          <w:p w:rsidR="00000000" w:rsidDel="00000000" w:rsidP="00000000" w:rsidRDefault="00000000" w:rsidRPr="00000000" w14:paraId="00000228">
            <w:pPr>
              <w:rPr/>
            </w:pPr>
            <w:r w:rsidDel="00000000" w:rsidR="00000000" w:rsidRPr="00000000">
              <w:rPr>
                <w:rtl w:val="0"/>
              </w:rPr>
              <w:t xml:space="preserve">1–&lt;3 år</w:t>
            </w:r>
          </w:p>
        </w:tc>
        <w:tc>
          <w:tcPr>
            <w:vAlign w:val="center"/>
          </w:tcPr>
          <w:p w:rsidR="00000000" w:rsidDel="00000000" w:rsidP="00000000" w:rsidRDefault="00000000" w:rsidRPr="00000000" w14:paraId="00000229">
            <w:pPr>
              <w:rPr/>
            </w:pPr>
            <w:r w:rsidDel="00000000" w:rsidR="00000000" w:rsidRPr="00000000">
              <w:rPr>
                <w:rtl w:val="0"/>
              </w:rPr>
              <w:t xml:space="preserve">2</w:t>
            </w:r>
          </w:p>
        </w:tc>
        <w:tc>
          <w:tcPr>
            <w:vAlign w:val="center"/>
          </w:tcPr>
          <w:p w:rsidR="00000000" w:rsidDel="00000000" w:rsidP="00000000" w:rsidRDefault="00000000" w:rsidRPr="00000000" w14:paraId="0000022A">
            <w:pPr>
              <w:rPr/>
            </w:pPr>
            <w:r w:rsidDel="00000000" w:rsidR="00000000" w:rsidRPr="00000000">
              <w:rPr>
                <w:rtl w:val="0"/>
              </w:rPr>
              <w:t xml:space="preserve">1.17</w:t>
            </w:r>
          </w:p>
        </w:tc>
        <w:tc>
          <w:tcPr>
            <w:vAlign w:val="center"/>
          </w:tcPr>
          <w:p w:rsidR="00000000" w:rsidDel="00000000" w:rsidP="00000000" w:rsidRDefault="00000000" w:rsidRPr="00000000" w14:paraId="0000022B">
            <w:pP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22C">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2D">
            <w:pPr>
              <w:rPr/>
            </w:pPr>
            <w:r w:rsidDel="00000000" w:rsidR="00000000" w:rsidRPr="00000000">
              <w:rPr>
                <w:rtl w:val="0"/>
              </w:rPr>
              <w:t xml:space="preserve">Kvinde</w:t>
            </w:r>
          </w:p>
        </w:tc>
        <w:tc>
          <w:tcPr>
            <w:vAlign w:val="center"/>
          </w:tcPr>
          <w:p w:rsidR="00000000" w:rsidDel="00000000" w:rsidP="00000000" w:rsidRDefault="00000000" w:rsidRPr="00000000" w14:paraId="0000022E">
            <w:pPr>
              <w:rPr/>
            </w:pPr>
            <w:r w:rsidDel="00000000" w:rsidR="00000000" w:rsidRPr="00000000">
              <w:rPr>
                <w:rtl w:val="0"/>
              </w:rPr>
              <w:t xml:space="preserve">45–59</w:t>
            </w:r>
          </w:p>
        </w:tc>
        <w:tc>
          <w:tcPr>
            <w:vAlign w:val="center"/>
          </w:tcPr>
          <w:p w:rsidR="00000000" w:rsidDel="00000000" w:rsidP="00000000" w:rsidRDefault="00000000" w:rsidRPr="00000000" w14:paraId="0000022F">
            <w:pPr>
              <w:rPr/>
            </w:pPr>
            <w:r w:rsidDel="00000000" w:rsidR="00000000" w:rsidRPr="00000000">
              <w:rPr>
                <w:rtl w:val="0"/>
              </w:rPr>
              <w:t xml:space="preserve">3–&lt;6 år</w:t>
            </w:r>
          </w:p>
        </w:tc>
        <w:tc>
          <w:tcPr>
            <w:vAlign w:val="center"/>
          </w:tcPr>
          <w:p w:rsidR="00000000" w:rsidDel="00000000" w:rsidP="00000000" w:rsidRDefault="00000000" w:rsidRPr="00000000" w14:paraId="00000230">
            <w:pPr>
              <w:rPr/>
            </w:pPr>
            <w:r w:rsidDel="00000000" w:rsidR="00000000" w:rsidRPr="00000000">
              <w:rPr>
                <w:rtl w:val="0"/>
              </w:rPr>
              <w:t xml:space="preserve">2</w:t>
            </w:r>
          </w:p>
        </w:tc>
        <w:tc>
          <w:tcPr>
            <w:vAlign w:val="center"/>
          </w:tcPr>
          <w:p w:rsidR="00000000" w:rsidDel="00000000" w:rsidP="00000000" w:rsidRDefault="00000000" w:rsidRPr="00000000" w14:paraId="00000231">
            <w:pPr>
              <w:rPr/>
            </w:pPr>
            <w:r w:rsidDel="00000000" w:rsidR="00000000" w:rsidRPr="00000000">
              <w:rPr>
                <w:rtl w:val="0"/>
              </w:rPr>
              <w:t xml:space="preserve">2.08</w:t>
            </w:r>
          </w:p>
        </w:tc>
        <w:tc>
          <w:tcPr>
            <w:vAlign w:val="center"/>
          </w:tcPr>
          <w:p w:rsidR="00000000" w:rsidDel="00000000" w:rsidP="00000000" w:rsidRDefault="00000000" w:rsidRPr="00000000" w14:paraId="00000232">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33">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34">
            <w:pPr>
              <w:rPr/>
            </w:pPr>
            <w:r w:rsidDel="00000000" w:rsidR="00000000" w:rsidRPr="00000000">
              <w:rPr>
                <w:rtl w:val="0"/>
              </w:rPr>
              <w:t xml:space="preserve">Kvinde</w:t>
            </w:r>
          </w:p>
        </w:tc>
        <w:tc>
          <w:tcPr>
            <w:vAlign w:val="center"/>
          </w:tcPr>
          <w:p w:rsidR="00000000" w:rsidDel="00000000" w:rsidP="00000000" w:rsidRDefault="00000000" w:rsidRPr="00000000" w14:paraId="00000235">
            <w:pPr>
              <w:rPr/>
            </w:pPr>
            <w:r w:rsidDel="00000000" w:rsidR="00000000" w:rsidRPr="00000000">
              <w:rPr>
                <w:rtl w:val="0"/>
              </w:rPr>
              <w:t xml:space="preserve">45–59</w:t>
            </w:r>
          </w:p>
        </w:tc>
        <w:tc>
          <w:tcPr>
            <w:vAlign w:val="center"/>
          </w:tcPr>
          <w:p w:rsidR="00000000" w:rsidDel="00000000" w:rsidP="00000000" w:rsidRDefault="00000000" w:rsidRPr="00000000" w14:paraId="00000236">
            <w:pPr>
              <w:rPr/>
            </w:pPr>
            <w:r w:rsidDel="00000000" w:rsidR="00000000" w:rsidRPr="00000000">
              <w:rPr>
                <w:rtl w:val="0"/>
              </w:rPr>
              <w:t xml:space="preserve">≥6 år</w:t>
            </w:r>
          </w:p>
        </w:tc>
        <w:tc>
          <w:tcPr>
            <w:vAlign w:val="center"/>
          </w:tcPr>
          <w:p w:rsidR="00000000" w:rsidDel="00000000" w:rsidP="00000000" w:rsidRDefault="00000000" w:rsidRPr="00000000" w14:paraId="00000237">
            <w:pPr>
              <w:rPr/>
            </w:pPr>
            <w:r w:rsidDel="00000000" w:rsidR="00000000" w:rsidRPr="00000000">
              <w:rPr>
                <w:rtl w:val="0"/>
              </w:rPr>
              <w:t xml:space="preserve">1</w:t>
            </w:r>
          </w:p>
        </w:tc>
        <w:tc>
          <w:tcPr>
            <w:vAlign w:val="center"/>
          </w:tcPr>
          <w:p w:rsidR="00000000" w:rsidDel="00000000" w:rsidP="00000000" w:rsidRDefault="00000000" w:rsidRPr="00000000" w14:paraId="00000238">
            <w:pPr>
              <w:rPr/>
            </w:pPr>
            <w:r w:rsidDel="00000000" w:rsidR="00000000" w:rsidRPr="00000000">
              <w:rPr>
                <w:rtl w:val="0"/>
              </w:rPr>
              <w:t xml:space="preserve">3.33</w:t>
            </w:r>
          </w:p>
        </w:tc>
        <w:tc>
          <w:tcPr>
            <w:vAlign w:val="center"/>
          </w:tcPr>
          <w:p w:rsidR="00000000" w:rsidDel="00000000" w:rsidP="00000000" w:rsidRDefault="00000000" w:rsidRPr="00000000" w14:paraId="00000239">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3A">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3B">
            <w:pPr>
              <w:rPr/>
            </w:pPr>
            <w:r w:rsidDel="00000000" w:rsidR="00000000" w:rsidRPr="00000000">
              <w:rPr>
                <w:rtl w:val="0"/>
              </w:rPr>
              <w:t xml:space="preserve">Kvinde</w:t>
            </w:r>
          </w:p>
        </w:tc>
        <w:tc>
          <w:tcPr>
            <w:vAlign w:val="center"/>
          </w:tcPr>
          <w:p w:rsidR="00000000" w:rsidDel="00000000" w:rsidP="00000000" w:rsidRDefault="00000000" w:rsidRPr="00000000" w14:paraId="0000023C">
            <w:pPr>
              <w:rPr/>
            </w:pPr>
            <w:r w:rsidDel="00000000" w:rsidR="00000000" w:rsidRPr="00000000">
              <w:rPr>
                <w:rtl w:val="0"/>
              </w:rPr>
              <w:t xml:space="preserve">60+</w:t>
            </w:r>
          </w:p>
        </w:tc>
        <w:tc>
          <w:tcPr>
            <w:vAlign w:val="center"/>
          </w:tcPr>
          <w:p w:rsidR="00000000" w:rsidDel="00000000" w:rsidP="00000000" w:rsidRDefault="00000000" w:rsidRPr="00000000" w14:paraId="0000023D">
            <w:pPr>
              <w:rPr/>
            </w:pPr>
            <w:r w:rsidDel="00000000" w:rsidR="00000000" w:rsidRPr="00000000">
              <w:rPr>
                <w:rtl w:val="0"/>
              </w:rPr>
              <w:t xml:space="preserve">1–&lt;3 år</w:t>
            </w:r>
          </w:p>
        </w:tc>
        <w:tc>
          <w:tcPr>
            <w:vAlign w:val="center"/>
          </w:tcPr>
          <w:p w:rsidR="00000000" w:rsidDel="00000000" w:rsidP="00000000" w:rsidRDefault="00000000" w:rsidRPr="00000000" w14:paraId="0000023E">
            <w:pPr>
              <w:rPr/>
            </w:pPr>
            <w:r w:rsidDel="00000000" w:rsidR="00000000" w:rsidRPr="00000000">
              <w:rPr>
                <w:rtl w:val="0"/>
              </w:rPr>
              <w:t xml:space="preserve">8</w:t>
            </w:r>
          </w:p>
        </w:tc>
        <w:tc>
          <w:tcPr>
            <w:vAlign w:val="center"/>
          </w:tcPr>
          <w:p w:rsidR="00000000" w:rsidDel="00000000" w:rsidP="00000000" w:rsidRDefault="00000000" w:rsidRPr="00000000" w14:paraId="0000023F">
            <w:pPr>
              <w:rPr/>
            </w:pPr>
            <w:r w:rsidDel="00000000" w:rsidR="00000000" w:rsidRPr="00000000">
              <w:rPr>
                <w:rtl w:val="0"/>
              </w:rPr>
              <w:t xml:space="preserve">1.55</w:t>
            </w:r>
          </w:p>
        </w:tc>
        <w:tc>
          <w:tcPr>
            <w:vAlign w:val="center"/>
          </w:tcPr>
          <w:p w:rsidR="00000000" w:rsidDel="00000000" w:rsidP="00000000" w:rsidRDefault="00000000" w:rsidRPr="00000000" w14:paraId="00000240">
            <w:pPr>
              <w:rPr/>
            </w:pPr>
            <w:r w:rsidDel="00000000" w:rsidR="00000000" w:rsidRPr="00000000">
              <w:rPr>
                <w:rtl w:val="0"/>
              </w:rPr>
              <w:t xml:space="preserve">75</w:t>
            </w:r>
          </w:p>
        </w:tc>
      </w:tr>
      <w:tr>
        <w:trPr>
          <w:cantSplit w:val="0"/>
          <w:tblHeader w:val="0"/>
        </w:trPr>
        <w:tc>
          <w:tcPr>
            <w:vAlign w:val="center"/>
          </w:tcPr>
          <w:p w:rsidR="00000000" w:rsidDel="00000000" w:rsidP="00000000" w:rsidRDefault="00000000" w:rsidRPr="00000000" w14:paraId="00000241">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42">
            <w:pPr>
              <w:rPr/>
            </w:pPr>
            <w:r w:rsidDel="00000000" w:rsidR="00000000" w:rsidRPr="00000000">
              <w:rPr>
                <w:rtl w:val="0"/>
              </w:rPr>
              <w:t xml:space="preserve">Kvinde</w:t>
            </w:r>
          </w:p>
        </w:tc>
        <w:tc>
          <w:tcPr>
            <w:vAlign w:val="center"/>
          </w:tcPr>
          <w:p w:rsidR="00000000" w:rsidDel="00000000" w:rsidP="00000000" w:rsidRDefault="00000000" w:rsidRPr="00000000" w14:paraId="00000243">
            <w:pPr>
              <w:rPr/>
            </w:pPr>
            <w:r w:rsidDel="00000000" w:rsidR="00000000" w:rsidRPr="00000000">
              <w:rPr>
                <w:rtl w:val="0"/>
              </w:rPr>
              <w:t xml:space="preserve">60+</w:t>
            </w:r>
          </w:p>
        </w:tc>
        <w:tc>
          <w:tcPr>
            <w:vAlign w:val="center"/>
          </w:tcPr>
          <w:p w:rsidR="00000000" w:rsidDel="00000000" w:rsidP="00000000" w:rsidRDefault="00000000" w:rsidRPr="00000000" w14:paraId="00000244">
            <w:pPr>
              <w:rPr/>
            </w:pPr>
            <w:r w:rsidDel="00000000" w:rsidR="00000000" w:rsidRPr="00000000">
              <w:rPr>
                <w:rtl w:val="0"/>
              </w:rPr>
              <w:t xml:space="preserve">3–&lt;6 år</w:t>
            </w:r>
          </w:p>
        </w:tc>
        <w:tc>
          <w:tcPr>
            <w:vAlign w:val="center"/>
          </w:tcPr>
          <w:p w:rsidR="00000000" w:rsidDel="00000000" w:rsidP="00000000" w:rsidRDefault="00000000" w:rsidRPr="00000000" w14:paraId="00000245">
            <w:pPr>
              <w:rPr/>
            </w:pPr>
            <w:r w:rsidDel="00000000" w:rsidR="00000000" w:rsidRPr="00000000">
              <w:rPr>
                <w:rtl w:val="0"/>
              </w:rPr>
              <w:t xml:space="preserve">4</w:t>
            </w:r>
          </w:p>
        </w:tc>
        <w:tc>
          <w:tcPr>
            <w:vAlign w:val="center"/>
          </w:tcPr>
          <w:p w:rsidR="00000000" w:rsidDel="00000000" w:rsidP="00000000" w:rsidRDefault="00000000" w:rsidRPr="00000000" w14:paraId="00000246">
            <w:pPr>
              <w:rPr/>
            </w:pPr>
            <w:r w:rsidDel="00000000" w:rsidR="00000000" w:rsidRPr="00000000">
              <w:rPr>
                <w:rtl w:val="0"/>
              </w:rPr>
              <w:t xml:space="preserve">1.28</w:t>
            </w:r>
          </w:p>
        </w:tc>
        <w:tc>
          <w:tcPr>
            <w:vAlign w:val="center"/>
          </w:tcPr>
          <w:p w:rsidR="00000000" w:rsidDel="00000000" w:rsidP="00000000" w:rsidRDefault="00000000" w:rsidRPr="00000000" w14:paraId="00000247">
            <w:pPr>
              <w:rPr/>
            </w:pPr>
            <w:r w:rsidDel="00000000" w:rsidR="00000000" w:rsidRPr="00000000">
              <w:rPr>
                <w:rtl w:val="0"/>
              </w:rPr>
              <w:t xml:space="preserve">75</w:t>
            </w:r>
          </w:p>
        </w:tc>
      </w:tr>
      <w:tr>
        <w:trPr>
          <w:cantSplit w:val="0"/>
          <w:tblHeader w:val="0"/>
        </w:trPr>
        <w:tc>
          <w:tcPr>
            <w:vAlign w:val="center"/>
          </w:tcPr>
          <w:p w:rsidR="00000000" w:rsidDel="00000000" w:rsidP="00000000" w:rsidRDefault="00000000" w:rsidRPr="00000000" w14:paraId="00000248">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49">
            <w:pPr>
              <w:rPr/>
            </w:pPr>
            <w:r w:rsidDel="00000000" w:rsidR="00000000" w:rsidRPr="00000000">
              <w:rPr>
                <w:rtl w:val="0"/>
              </w:rPr>
              <w:t xml:space="preserve">Kvinde</w:t>
            </w:r>
          </w:p>
        </w:tc>
        <w:tc>
          <w:tcPr>
            <w:vAlign w:val="center"/>
          </w:tcPr>
          <w:p w:rsidR="00000000" w:rsidDel="00000000" w:rsidP="00000000" w:rsidRDefault="00000000" w:rsidRPr="00000000" w14:paraId="0000024A">
            <w:pPr>
              <w:rPr/>
            </w:pPr>
            <w:r w:rsidDel="00000000" w:rsidR="00000000" w:rsidRPr="00000000">
              <w:rPr>
                <w:rtl w:val="0"/>
              </w:rPr>
              <w:t xml:space="preserve">60+</w:t>
            </w:r>
          </w:p>
        </w:tc>
        <w:tc>
          <w:tcPr>
            <w:vAlign w:val="center"/>
          </w:tcPr>
          <w:p w:rsidR="00000000" w:rsidDel="00000000" w:rsidP="00000000" w:rsidRDefault="00000000" w:rsidRPr="00000000" w14:paraId="0000024B">
            <w:pPr>
              <w:rPr/>
            </w:pPr>
            <w:r w:rsidDel="00000000" w:rsidR="00000000" w:rsidRPr="00000000">
              <w:rPr>
                <w:rtl w:val="0"/>
              </w:rPr>
              <w:t xml:space="preserve">&lt;1 år</w:t>
            </w:r>
          </w:p>
        </w:tc>
        <w:tc>
          <w:tcPr>
            <w:vAlign w:val="center"/>
          </w:tcPr>
          <w:p w:rsidR="00000000" w:rsidDel="00000000" w:rsidP="00000000" w:rsidRDefault="00000000" w:rsidRPr="00000000" w14:paraId="0000024C">
            <w:pPr>
              <w:rPr/>
            </w:pPr>
            <w:r w:rsidDel="00000000" w:rsidR="00000000" w:rsidRPr="00000000">
              <w:rPr>
                <w:rtl w:val="0"/>
              </w:rPr>
              <w:t xml:space="preserve">2</w:t>
            </w:r>
          </w:p>
        </w:tc>
        <w:tc>
          <w:tcPr>
            <w:vAlign w:val="center"/>
          </w:tcPr>
          <w:p w:rsidR="00000000" w:rsidDel="00000000" w:rsidP="00000000" w:rsidRDefault="00000000" w:rsidRPr="00000000" w14:paraId="0000024D">
            <w:pPr>
              <w:rPr/>
            </w:pPr>
            <w:r w:rsidDel="00000000" w:rsidR="00000000" w:rsidRPr="00000000">
              <w:rPr>
                <w:rtl w:val="0"/>
              </w:rPr>
              <w:t xml:space="preserve">0.89</w:t>
            </w:r>
          </w:p>
        </w:tc>
        <w:tc>
          <w:tcPr>
            <w:vAlign w:val="center"/>
          </w:tcPr>
          <w:p w:rsidR="00000000" w:rsidDel="00000000" w:rsidP="00000000" w:rsidRDefault="00000000" w:rsidRPr="00000000" w14:paraId="0000024E">
            <w:pP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24F">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50">
            <w:pPr>
              <w:rPr/>
            </w:pPr>
            <w:r w:rsidDel="00000000" w:rsidR="00000000" w:rsidRPr="00000000">
              <w:rPr>
                <w:rtl w:val="0"/>
              </w:rPr>
              <w:t xml:space="preserve">Kvinde</w:t>
            </w:r>
          </w:p>
        </w:tc>
        <w:tc>
          <w:tcPr>
            <w:vAlign w:val="center"/>
          </w:tcPr>
          <w:p w:rsidR="00000000" w:rsidDel="00000000" w:rsidP="00000000" w:rsidRDefault="00000000" w:rsidRPr="00000000" w14:paraId="00000251">
            <w:pPr>
              <w:rPr/>
            </w:pPr>
            <w:r w:rsidDel="00000000" w:rsidR="00000000" w:rsidRPr="00000000">
              <w:rPr>
                <w:rtl w:val="0"/>
              </w:rPr>
              <w:t xml:space="preserve">60+</w:t>
            </w:r>
          </w:p>
        </w:tc>
        <w:tc>
          <w:tcPr>
            <w:vAlign w:val="center"/>
          </w:tcPr>
          <w:p w:rsidR="00000000" w:rsidDel="00000000" w:rsidP="00000000" w:rsidRDefault="00000000" w:rsidRPr="00000000" w14:paraId="00000252">
            <w:pPr>
              <w:rPr/>
            </w:pPr>
            <w:r w:rsidDel="00000000" w:rsidR="00000000" w:rsidRPr="00000000">
              <w:rPr>
                <w:rtl w:val="0"/>
              </w:rPr>
              <w:t xml:space="preserve">≥6 år</w:t>
            </w:r>
          </w:p>
        </w:tc>
        <w:tc>
          <w:tcPr>
            <w:vAlign w:val="center"/>
          </w:tcPr>
          <w:p w:rsidR="00000000" w:rsidDel="00000000" w:rsidP="00000000" w:rsidRDefault="00000000" w:rsidRPr="00000000" w14:paraId="00000253">
            <w:pPr>
              <w:rPr/>
            </w:pPr>
            <w:r w:rsidDel="00000000" w:rsidR="00000000" w:rsidRPr="00000000">
              <w:rPr>
                <w:rtl w:val="0"/>
              </w:rPr>
              <w:t xml:space="preserve">3</w:t>
            </w:r>
          </w:p>
        </w:tc>
        <w:tc>
          <w:tcPr>
            <w:vAlign w:val="center"/>
          </w:tcPr>
          <w:p w:rsidR="00000000" w:rsidDel="00000000" w:rsidP="00000000" w:rsidRDefault="00000000" w:rsidRPr="00000000" w14:paraId="00000254">
            <w:pPr>
              <w:rPr/>
            </w:pPr>
            <w:r w:rsidDel="00000000" w:rsidR="00000000" w:rsidRPr="00000000">
              <w:rPr>
                <w:rtl w:val="0"/>
              </w:rPr>
              <w:t xml:space="preserve">1.69</w:t>
            </w:r>
          </w:p>
        </w:tc>
        <w:tc>
          <w:tcPr>
            <w:vAlign w:val="center"/>
          </w:tcPr>
          <w:p w:rsidR="00000000" w:rsidDel="00000000" w:rsidP="00000000" w:rsidRDefault="00000000" w:rsidRPr="00000000" w14:paraId="00000255">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56">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57">
            <w:pPr>
              <w:rPr/>
            </w:pPr>
            <w:r w:rsidDel="00000000" w:rsidR="00000000" w:rsidRPr="00000000">
              <w:rPr>
                <w:rtl w:val="0"/>
              </w:rPr>
              <w:t xml:space="preserve">Kvinde</w:t>
            </w:r>
          </w:p>
        </w:tc>
        <w:tc>
          <w:tcPr>
            <w:vAlign w:val="center"/>
          </w:tcPr>
          <w:p w:rsidR="00000000" w:rsidDel="00000000" w:rsidP="00000000" w:rsidRDefault="00000000" w:rsidRPr="00000000" w14:paraId="00000258">
            <w:pPr>
              <w:rPr/>
            </w:pPr>
            <w:r w:rsidDel="00000000" w:rsidR="00000000" w:rsidRPr="00000000">
              <w:rPr>
                <w:rtl w:val="0"/>
              </w:rPr>
              <w:t xml:space="preserve">&lt;30</w:t>
            </w:r>
          </w:p>
        </w:tc>
        <w:tc>
          <w:tcPr>
            <w:vAlign w:val="center"/>
          </w:tcPr>
          <w:p w:rsidR="00000000" w:rsidDel="00000000" w:rsidP="00000000" w:rsidRDefault="00000000" w:rsidRPr="00000000" w14:paraId="00000259">
            <w:pPr>
              <w:rPr/>
            </w:pPr>
            <w:r w:rsidDel="00000000" w:rsidR="00000000" w:rsidRPr="00000000">
              <w:rPr>
                <w:rtl w:val="0"/>
              </w:rPr>
              <w:t xml:space="preserve">1–&lt;3 år</w:t>
            </w:r>
          </w:p>
        </w:tc>
        <w:tc>
          <w:tcPr>
            <w:vAlign w:val="center"/>
          </w:tcPr>
          <w:p w:rsidR="00000000" w:rsidDel="00000000" w:rsidP="00000000" w:rsidRDefault="00000000" w:rsidRPr="00000000" w14:paraId="0000025A">
            <w:pPr>
              <w:rPr/>
            </w:pPr>
            <w:r w:rsidDel="00000000" w:rsidR="00000000" w:rsidRPr="00000000">
              <w:rPr>
                <w:rtl w:val="0"/>
              </w:rPr>
              <w:t xml:space="preserve">1</w:t>
            </w:r>
          </w:p>
        </w:tc>
        <w:tc>
          <w:tcPr>
            <w:vAlign w:val="center"/>
          </w:tcPr>
          <w:p w:rsidR="00000000" w:rsidDel="00000000" w:rsidP="00000000" w:rsidRDefault="00000000" w:rsidRPr="00000000" w14:paraId="0000025B">
            <w:pPr>
              <w:rPr/>
            </w:pPr>
            <w:r w:rsidDel="00000000" w:rsidR="00000000" w:rsidRPr="00000000">
              <w:rPr>
                <w:rtl w:val="0"/>
              </w:rPr>
              <w:t xml:space="preserve">1.19</w:t>
            </w:r>
          </w:p>
        </w:tc>
        <w:tc>
          <w:tcPr>
            <w:vAlign w:val="center"/>
          </w:tcPr>
          <w:p w:rsidR="00000000" w:rsidDel="00000000" w:rsidP="00000000" w:rsidRDefault="00000000" w:rsidRPr="00000000" w14:paraId="0000025C">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5D">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5E">
            <w:pPr>
              <w:rPr/>
            </w:pPr>
            <w:r w:rsidDel="00000000" w:rsidR="00000000" w:rsidRPr="00000000">
              <w:rPr>
                <w:rtl w:val="0"/>
              </w:rPr>
              <w:t xml:space="preserve">Kvinde</w:t>
            </w:r>
          </w:p>
        </w:tc>
        <w:tc>
          <w:tcPr>
            <w:vAlign w:val="center"/>
          </w:tcPr>
          <w:p w:rsidR="00000000" w:rsidDel="00000000" w:rsidP="00000000" w:rsidRDefault="00000000" w:rsidRPr="00000000" w14:paraId="0000025F">
            <w:pPr>
              <w:rPr/>
            </w:pPr>
            <w:r w:rsidDel="00000000" w:rsidR="00000000" w:rsidRPr="00000000">
              <w:rPr>
                <w:rtl w:val="0"/>
              </w:rPr>
              <w:t xml:space="preserve">&lt;30</w:t>
            </w:r>
          </w:p>
        </w:tc>
        <w:tc>
          <w:tcPr>
            <w:vAlign w:val="center"/>
          </w:tcPr>
          <w:p w:rsidR="00000000" w:rsidDel="00000000" w:rsidP="00000000" w:rsidRDefault="00000000" w:rsidRPr="00000000" w14:paraId="00000260">
            <w:pPr>
              <w:rPr/>
            </w:pPr>
            <w:r w:rsidDel="00000000" w:rsidR="00000000" w:rsidRPr="00000000">
              <w:rPr>
                <w:rtl w:val="0"/>
              </w:rPr>
              <w:t xml:space="preserve">3–&lt;6 år</w:t>
            </w:r>
          </w:p>
        </w:tc>
        <w:tc>
          <w:tcPr>
            <w:vAlign w:val="center"/>
          </w:tcPr>
          <w:p w:rsidR="00000000" w:rsidDel="00000000" w:rsidP="00000000" w:rsidRDefault="00000000" w:rsidRPr="00000000" w14:paraId="00000261">
            <w:pPr>
              <w:rPr/>
            </w:pPr>
            <w:r w:rsidDel="00000000" w:rsidR="00000000" w:rsidRPr="00000000">
              <w:rPr>
                <w:rtl w:val="0"/>
              </w:rPr>
              <w:t xml:space="preserve">1</w:t>
            </w:r>
          </w:p>
        </w:tc>
        <w:tc>
          <w:tcPr>
            <w:vAlign w:val="center"/>
          </w:tcPr>
          <w:p w:rsidR="00000000" w:rsidDel="00000000" w:rsidP="00000000" w:rsidRDefault="00000000" w:rsidRPr="00000000" w14:paraId="00000262">
            <w:pPr>
              <w:rPr/>
            </w:pPr>
            <w:r w:rsidDel="00000000" w:rsidR="00000000" w:rsidRPr="00000000">
              <w:rPr>
                <w:rtl w:val="0"/>
              </w:rPr>
              <w:t xml:space="preserve">0.88</w:t>
            </w:r>
          </w:p>
        </w:tc>
        <w:tc>
          <w:tcPr>
            <w:vAlign w:val="center"/>
          </w:tcPr>
          <w:p w:rsidR="00000000" w:rsidDel="00000000" w:rsidP="00000000" w:rsidRDefault="00000000" w:rsidRPr="00000000" w14:paraId="00000263">
            <w:pPr>
              <w:rPr/>
            </w:pPr>
            <w:r w:rsidDel="00000000" w:rsidR="00000000" w:rsidRPr="00000000">
              <w:rPr>
                <w:rtl w:val="0"/>
              </w:rPr>
              <w:t xml:space="preserve">0</w:t>
            </w:r>
          </w:p>
        </w:tc>
      </w:tr>
      <w:tr>
        <w:trPr>
          <w:cantSplit w:val="0"/>
          <w:tblHeader w:val="0"/>
        </w:trPr>
        <w:tc>
          <w:tcPr>
            <w:vAlign w:val="center"/>
          </w:tcPr>
          <w:p w:rsidR="00000000" w:rsidDel="00000000" w:rsidP="00000000" w:rsidRDefault="00000000" w:rsidRPr="00000000" w14:paraId="00000264">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65">
            <w:pPr>
              <w:rPr/>
            </w:pPr>
            <w:r w:rsidDel="00000000" w:rsidR="00000000" w:rsidRPr="00000000">
              <w:rPr>
                <w:rtl w:val="0"/>
              </w:rPr>
              <w:t xml:space="preserve">Mand</w:t>
            </w:r>
          </w:p>
        </w:tc>
        <w:tc>
          <w:tcPr>
            <w:vAlign w:val="center"/>
          </w:tcPr>
          <w:p w:rsidR="00000000" w:rsidDel="00000000" w:rsidP="00000000" w:rsidRDefault="00000000" w:rsidRPr="00000000" w14:paraId="00000266">
            <w:pPr>
              <w:rPr/>
            </w:pPr>
            <w:r w:rsidDel="00000000" w:rsidR="00000000" w:rsidRPr="00000000">
              <w:rPr>
                <w:rtl w:val="0"/>
              </w:rPr>
              <w:t xml:space="preserve">30–44</w:t>
            </w:r>
          </w:p>
        </w:tc>
        <w:tc>
          <w:tcPr>
            <w:vAlign w:val="center"/>
          </w:tcPr>
          <w:p w:rsidR="00000000" w:rsidDel="00000000" w:rsidP="00000000" w:rsidRDefault="00000000" w:rsidRPr="00000000" w14:paraId="00000267">
            <w:pPr>
              <w:rPr/>
            </w:pPr>
            <w:r w:rsidDel="00000000" w:rsidR="00000000" w:rsidRPr="00000000">
              <w:rPr>
                <w:rtl w:val="0"/>
              </w:rPr>
              <w:t xml:space="preserve">1–&lt;3 år</w:t>
            </w:r>
          </w:p>
        </w:tc>
        <w:tc>
          <w:tcPr>
            <w:vAlign w:val="center"/>
          </w:tcPr>
          <w:p w:rsidR="00000000" w:rsidDel="00000000" w:rsidP="00000000" w:rsidRDefault="00000000" w:rsidRPr="00000000" w14:paraId="00000268">
            <w:pPr>
              <w:rPr/>
            </w:pPr>
            <w:r w:rsidDel="00000000" w:rsidR="00000000" w:rsidRPr="00000000">
              <w:rPr>
                <w:rtl w:val="0"/>
              </w:rPr>
              <w:t xml:space="preserve">2</w:t>
            </w:r>
          </w:p>
        </w:tc>
        <w:tc>
          <w:tcPr>
            <w:vAlign w:val="center"/>
          </w:tcPr>
          <w:p w:rsidR="00000000" w:rsidDel="00000000" w:rsidP="00000000" w:rsidRDefault="00000000" w:rsidRPr="00000000" w14:paraId="00000269">
            <w:pPr>
              <w:rPr/>
            </w:pPr>
            <w:r w:rsidDel="00000000" w:rsidR="00000000" w:rsidRPr="00000000">
              <w:rPr>
                <w:rtl w:val="0"/>
              </w:rPr>
              <w:t xml:space="preserve">2.58</w:t>
            </w:r>
          </w:p>
        </w:tc>
        <w:tc>
          <w:tcPr>
            <w:vAlign w:val="center"/>
          </w:tcPr>
          <w:p w:rsidR="00000000" w:rsidDel="00000000" w:rsidP="00000000" w:rsidRDefault="00000000" w:rsidRPr="00000000" w14:paraId="0000026A">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6B">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6C">
            <w:pPr>
              <w:rPr/>
            </w:pPr>
            <w:r w:rsidDel="00000000" w:rsidR="00000000" w:rsidRPr="00000000">
              <w:rPr>
                <w:rtl w:val="0"/>
              </w:rPr>
              <w:t xml:space="preserve">Mand</w:t>
            </w:r>
          </w:p>
        </w:tc>
        <w:tc>
          <w:tcPr>
            <w:vAlign w:val="center"/>
          </w:tcPr>
          <w:p w:rsidR="00000000" w:rsidDel="00000000" w:rsidP="00000000" w:rsidRDefault="00000000" w:rsidRPr="00000000" w14:paraId="0000026D">
            <w:pPr>
              <w:rPr/>
            </w:pPr>
            <w:r w:rsidDel="00000000" w:rsidR="00000000" w:rsidRPr="00000000">
              <w:rPr>
                <w:rtl w:val="0"/>
              </w:rPr>
              <w:t xml:space="preserve">30–44</w:t>
            </w:r>
          </w:p>
        </w:tc>
        <w:tc>
          <w:tcPr>
            <w:vAlign w:val="center"/>
          </w:tcPr>
          <w:p w:rsidR="00000000" w:rsidDel="00000000" w:rsidP="00000000" w:rsidRDefault="00000000" w:rsidRPr="00000000" w14:paraId="0000026E">
            <w:pPr>
              <w:rPr/>
            </w:pPr>
            <w:r w:rsidDel="00000000" w:rsidR="00000000" w:rsidRPr="00000000">
              <w:rPr>
                <w:rtl w:val="0"/>
              </w:rPr>
              <w:t xml:space="preserve">≥6 år</w:t>
            </w:r>
          </w:p>
        </w:tc>
        <w:tc>
          <w:tcPr>
            <w:vAlign w:val="center"/>
          </w:tcPr>
          <w:p w:rsidR="00000000" w:rsidDel="00000000" w:rsidP="00000000" w:rsidRDefault="00000000" w:rsidRPr="00000000" w14:paraId="0000026F">
            <w:pPr>
              <w:rPr/>
            </w:pPr>
            <w:r w:rsidDel="00000000" w:rsidR="00000000" w:rsidRPr="00000000">
              <w:rPr>
                <w:rtl w:val="0"/>
              </w:rPr>
              <w:t xml:space="preserve">2</w:t>
            </w:r>
          </w:p>
        </w:tc>
        <w:tc>
          <w:tcPr>
            <w:vAlign w:val="center"/>
          </w:tcPr>
          <w:p w:rsidR="00000000" w:rsidDel="00000000" w:rsidP="00000000" w:rsidRDefault="00000000" w:rsidRPr="00000000" w14:paraId="00000270">
            <w:pPr>
              <w:rPr/>
            </w:pPr>
            <w:r w:rsidDel="00000000" w:rsidR="00000000" w:rsidRPr="00000000">
              <w:rPr>
                <w:rtl w:val="0"/>
              </w:rPr>
              <w:t xml:space="preserve">1.78</w:t>
            </w:r>
          </w:p>
        </w:tc>
        <w:tc>
          <w:tcPr>
            <w:vAlign w:val="center"/>
          </w:tcPr>
          <w:p w:rsidR="00000000" w:rsidDel="00000000" w:rsidP="00000000" w:rsidRDefault="00000000" w:rsidRPr="00000000" w14:paraId="00000271">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72">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73">
            <w:pPr>
              <w:rPr/>
            </w:pPr>
            <w:r w:rsidDel="00000000" w:rsidR="00000000" w:rsidRPr="00000000">
              <w:rPr>
                <w:rtl w:val="0"/>
              </w:rPr>
              <w:t xml:space="preserve">Mand</w:t>
            </w:r>
          </w:p>
        </w:tc>
        <w:tc>
          <w:tcPr>
            <w:vAlign w:val="center"/>
          </w:tcPr>
          <w:p w:rsidR="00000000" w:rsidDel="00000000" w:rsidP="00000000" w:rsidRDefault="00000000" w:rsidRPr="00000000" w14:paraId="00000274">
            <w:pPr>
              <w:rPr/>
            </w:pPr>
            <w:r w:rsidDel="00000000" w:rsidR="00000000" w:rsidRPr="00000000">
              <w:rPr>
                <w:rtl w:val="0"/>
              </w:rPr>
              <w:t xml:space="preserve">45–59</w:t>
            </w:r>
          </w:p>
        </w:tc>
        <w:tc>
          <w:tcPr>
            <w:vAlign w:val="center"/>
          </w:tcPr>
          <w:p w:rsidR="00000000" w:rsidDel="00000000" w:rsidP="00000000" w:rsidRDefault="00000000" w:rsidRPr="00000000" w14:paraId="00000275">
            <w:pPr>
              <w:rPr/>
            </w:pPr>
            <w:r w:rsidDel="00000000" w:rsidR="00000000" w:rsidRPr="00000000">
              <w:rPr>
                <w:rtl w:val="0"/>
              </w:rPr>
              <w:t xml:space="preserve">1–&lt;3 år</w:t>
            </w:r>
          </w:p>
        </w:tc>
        <w:tc>
          <w:tcPr>
            <w:vAlign w:val="center"/>
          </w:tcPr>
          <w:p w:rsidR="00000000" w:rsidDel="00000000" w:rsidP="00000000" w:rsidRDefault="00000000" w:rsidRPr="00000000" w14:paraId="00000276">
            <w:pPr>
              <w:rPr/>
            </w:pPr>
            <w:r w:rsidDel="00000000" w:rsidR="00000000" w:rsidRPr="00000000">
              <w:rPr>
                <w:rtl w:val="0"/>
              </w:rPr>
              <w:t xml:space="preserve">2</w:t>
            </w:r>
          </w:p>
        </w:tc>
        <w:tc>
          <w:tcPr>
            <w:vAlign w:val="center"/>
          </w:tcPr>
          <w:p w:rsidR="00000000" w:rsidDel="00000000" w:rsidP="00000000" w:rsidRDefault="00000000" w:rsidRPr="00000000" w14:paraId="00000277">
            <w:pPr>
              <w:rPr/>
            </w:pPr>
            <w:r w:rsidDel="00000000" w:rsidR="00000000" w:rsidRPr="00000000">
              <w:rPr>
                <w:rtl w:val="0"/>
              </w:rPr>
              <w:t xml:space="preserve">2.03</w:t>
            </w:r>
          </w:p>
        </w:tc>
        <w:tc>
          <w:tcPr>
            <w:vAlign w:val="center"/>
          </w:tcPr>
          <w:p w:rsidR="00000000" w:rsidDel="00000000" w:rsidP="00000000" w:rsidRDefault="00000000" w:rsidRPr="00000000" w14:paraId="00000278">
            <w:pP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279">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7A">
            <w:pPr>
              <w:rPr/>
            </w:pPr>
            <w:r w:rsidDel="00000000" w:rsidR="00000000" w:rsidRPr="00000000">
              <w:rPr>
                <w:rtl w:val="0"/>
              </w:rPr>
              <w:t xml:space="preserve">Mand</w:t>
            </w:r>
          </w:p>
        </w:tc>
        <w:tc>
          <w:tcPr>
            <w:vAlign w:val="center"/>
          </w:tcPr>
          <w:p w:rsidR="00000000" w:rsidDel="00000000" w:rsidP="00000000" w:rsidRDefault="00000000" w:rsidRPr="00000000" w14:paraId="0000027B">
            <w:pPr>
              <w:rPr/>
            </w:pPr>
            <w:r w:rsidDel="00000000" w:rsidR="00000000" w:rsidRPr="00000000">
              <w:rPr>
                <w:rtl w:val="0"/>
              </w:rPr>
              <w:t xml:space="preserve">45–59</w:t>
            </w:r>
          </w:p>
        </w:tc>
        <w:tc>
          <w:tcPr>
            <w:vAlign w:val="center"/>
          </w:tcPr>
          <w:p w:rsidR="00000000" w:rsidDel="00000000" w:rsidP="00000000" w:rsidRDefault="00000000" w:rsidRPr="00000000" w14:paraId="0000027C">
            <w:pPr>
              <w:rPr/>
            </w:pPr>
            <w:r w:rsidDel="00000000" w:rsidR="00000000" w:rsidRPr="00000000">
              <w:rPr>
                <w:rtl w:val="0"/>
              </w:rPr>
              <w:t xml:space="preserve">3–&lt;6 år</w:t>
            </w:r>
          </w:p>
        </w:tc>
        <w:tc>
          <w:tcPr>
            <w:vAlign w:val="center"/>
          </w:tcPr>
          <w:p w:rsidR="00000000" w:rsidDel="00000000" w:rsidP="00000000" w:rsidRDefault="00000000" w:rsidRPr="00000000" w14:paraId="0000027D">
            <w:pPr>
              <w:rPr/>
            </w:pPr>
            <w:r w:rsidDel="00000000" w:rsidR="00000000" w:rsidRPr="00000000">
              <w:rPr>
                <w:rtl w:val="0"/>
              </w:rPr>
              <w:t xml:space="preserve">3</w:t>
            </w:r>
          </w:p>
        </w:tc>
        <w:tc>
          <w:tcPr>
            <w:vAlign w:val="center"/>
          </w:tcPr>
          <w:p w:rsidR="00000000" w:rsidDel="00000000" w:rsidP="00000000" w:rsidRDefault="00000000" w:rsidRPr="00000000" w14:paraId="0000027E">
            <w:pPr>
              <w:rPr/>
            </w:pPr>
            <w:r w:rsidDel="00000000" w:rsidR="00000000" w:rsidRPr="00000000">
              <w:rPr>
                <w:rtl w:val="0"/>
              </w:rPr>
              <w:t xml:space="preserve">2.79</w:t>
            </w:r>
          </w:p>
        </w:tc>
        <w:tc>
          <w:tcPr>
            <w:vAlign w:val="center"/>
          </w:tcPr>
          <w:p w:rsidR="00000000" w:rsidDel="00000000" w:rsidP="00000000" w:rsidRDefault="00000000" w:rsidRPr="00000000" w14:paraId="0000027F">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80">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81">
            <w:pPr>
              <w:rPr/>
            </w:pPr>
            <w:r w:rsidDel="00000000" w:rsidR="00000000" w:rsidRPr="00000000">
              <w:rPr>
                <w:rtl w:val="0"/>
              </w:rPr>
              <w:t xml:space="preserve">Mand</w:t>
            </w:r>
          </w:p>
        </w:tc>
        <w:tc>
          <w:tcPr>
            <w:vAlign w:val="center"/>
          </w:tcPr>
          <w:p w:rsidR="00000000" w:rsidDel="00000000" w:rsidP="00000000" w:rsidRDefault="00000000" w:rsidRPr="00000000" w14:paraId="00000282">
            <w:pPr>
              <w:rPr/>
            </w:pPr>
            <w:r w:rsidDel="00000000" w:rsidR="00000000" w:rsidRPr="00000000">
              <w:rPr>
                <w:rtl w:val="0"/>
              </w:rPr>
              <w:t xml:space="preserve">45–59</w:t>
            </w:r>
          </w:p>
        </w:tc>
        <w:tc>
          <w:tcPr>
            <w:vAlign w:val="center"/>
          </w:tcPr>
          <w:p w:rsidR="00000000" w:rsidDel="00000000" w:rsidP="00000000" w:rsidRDefault="00000000" w:rsidRPr="00000000" w14:paraId="00000283">
            <w:pPr>
              <w:rPr/>
            </w:pPr>
            <w:r w:rsidDel="00000000" w:rsidR="00000000" w:rsidRPr="00000000">
              <w:rPr>
                <w:rtl w:val="0"/>
              </w:rPr>
              <w:t xml:space="preserve">&lt;1 år</w:t>
            </w:r>
          </w:p>
        </w:tc>
        <w:tc>
          <w:tcPr>
            <w:vAlign w:val="center"/>
          </w:tcPr>
          <w:p w:rsidR="00000000" w:rsidDel="00000000" w:rsidP="00000000" w:rsidRDefault="00000000" w:rsidRPr="00000000" w14:paraId="00000284">
            <w:pPr>
              <w:rPr/>
            </w:pPr>
            <w:r w:rsidDel="00000000" w:rsidR="00000000" w:rsidRPr="00000000">
              <w:rPr>
                <w:rtl w:val="0"/>
              </w:rPr>
              <w:t xml:space="preserve">3</w:t>
            </w:r>
          </w:p>
        </w:tc>
        <w:tc>
          <w:tcPr>
            <w:vAlign w:val="center"/>
          </w:tcPr>
          <w:p w:rsidR="00000000" w:rsidDel="00000000" w:rsidP="00000000" w:rsidRDefault="00000000" w:rsidRPr="00000000" w14:paraId="00000285">
            <w:pPr>
              <w:rPr/>
            </w:pPr>
            <w:r w:rsidDel="00000000" w:rsidR="00000000" w:rsidRPr="00000000">
              <w:rPr>
                <w:rtl w:val="0"/>
              </w:rPr>
              <w:t xml:space="preserve">1.04</w:t>
            </w:r>
          </w:p>
        </w:tc>
        <w:tc>
          <w:tcPr>
            <w:vAlign w:val="center"/>
          </w:tcPr>
          <w:p w:rsidR="00000000" w:rsidDel="00000000" w:rsidP="00000000" w:rsidRDefault="00000000" w:rsidRPr="00000000" w14:paraId="00000286">
            <w:pPr>
              <w:rPr/>
            </w:pPr>
            <w:r w:rsidDel="00000000" w:rsidR="00000000" w:rsidRPr="00000000">
              <w:rPr>
                <w:rtl w:val="0"/>
              </w:rPr>
              <w:t xml:space="preserve">67</w:t>
            </w:r>
          </w:p>
        </w:tc>
      </w:tr>
      <w:tr>
        <w:trPr>
          <w:cantSplit w:val="0"/>
          <w:tblHeader w:val="0"/>
        </w:trPr>
        <w:tc>
          <w:tcPr>
            <w:vAlign w:val="center"/>
          </w:tcPr>
          <w:p w:rsidR="00000000" w:rsidDel="00000000" w:rsidP="00000000" w:rsidRDefault="00000000" w:rsidRPr="00000000" w14:paraId="00000287">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88">
            <w:pPr>
              <w:rPr/>
            </w:pPr>
            <w:r w:rsidDel="00000000" w:rsidR="00000000" w:rsidRPr="00000000">
              <w:rPr>
                <w:rtl w:val="0"/>
              </w:rPr>
              <w:t xml:space="preserve">Mand</w:t>
            </w:r>
          </w:p>
        </w:tc>
        <w:tc>
          <w:tcPr>
            <w:vAlign w:val="center"/>
          </w:tcPr>
          <w:p w:rsidR="00000000" w:rsidDel="00000000" w:rsidP="00000000" w:rsidRDefault="00000000" w:rsidRPr="00000000" w14:paraId="00000289">
            <w:pPr>
              <w:rPr/>
            </w:pPr>
            <w:r w:rsidDel="00000000" w:rsidR="00000000" w:rsidRPr="00000000">
              <w:rPr>
                <w:rtl w:val="0"/>
              </w:rPr>
              <w:t xml:space="preserve">45–59</w:t>
            </w:r>
          </w:p>
        </w:tc>
        <w:tc>
          <w:tcPr>
            <w:vAlign w:val="center"/>
          </w:tcPr>
          <w:p w:rsidR="00000000" w:rsidDel="00000000" w:rsidP="00000000" w:rsidRDefault="00000000" w:rsidRPr="00000000" w14:paraId="0000028A">
            <w:pPr>
              <w:rPr/>
            </w:pPr>
            <w:r w:rsidDel="00000000" w:rsidR="00000000" w:rsidRPr="00000000">
              <w:rPr>
                <w:rtl w:val="0"/>
              </w:rPr>
              <w:t xml:space="preserve">≥6 år</w:t>
            </w:r>
          </w:p>
        </w:tc>
        <w:tc>
          <w:tcPr>
            <w:vAlign w:val="center"/>
          </w:tcPr>
          <w:p w:rsidR="00000000" w:rsidDel="00000000" w:rsidP="00000000" w:rsidRDefault="00000000" w:rsidRPr="00000000" w14:paraId="0000028B">
            <w:pPr>
              <w:rPr/>
            </w:pPr>
            <w:r w:rsidDel="00000000" w:rsidR="00000000" w:rsidRPr="00000000">
              <w:rPr>
                <w:rtl w:val="0"/>
              </w:rPr>
              <w:t xml:space="preserve">2</w:t>
            </w:r>
          </w:p>
        </w:tc>
        <w:tc>
          <w:tcPr>
            <w:vAlign w:val="center"/>
          </w:tcPr>
          <w:p w:rsidR="00000000" w:rsidDel="00000000" w:rsidP="00000000" w:rsidRDefault="00000000" w:rsidRPr="00000000" w14:paraId="0000028C">
            <w:pPr>
              <w:rPr/>
            </w:pPr>
            <w:r w:rsidDel="00000000" w:rsidR="00000000" w:rsidRPr="00000000">
              <w:rPr>
                <w:rtl w:val="0"/>
              </w:rPr>
              <w:t xml:space="preserve">1.26</w:t>
            </w:r>
          </w:p>
        </w:tc>
        <w:tc>
          <w:tcPr>
            <w:vAlign w:val="center"/>
          </w:tcPr>
          <w:p w:rsidR="00000000" w:rsidDel="00000000" w:rsidP="00000000" w:rsidRDefault="00000000" w:rsidRPr="00000000" w14:paraId="0000028D">
            <w:pP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28E">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8F">
            <w:pPr>
              <w:rPr/>
            </w:pPr>
            <w:r w:rsidDel="00000000" w:rsidR="00000000" w:rsidRPr="00000000">
              <w:rPr>
                <w:rtl w:val="0"/>
              </w:rPr>
              <w:t xml:space="preserve">Mand</w:t>
            </w:r>
          </w:p>
        </w:tc>
        <w:tc>
          <w:tcPr>
            <w:vAlign w:val="center"/>
          </w:tcPr>
          <w:p w:rsidR="00000000" w:rsidDel="00000000" w:rsidP="00000000" w:rsidRDefault="00000000" w:rsidRPr="00000000" w14:paraId="00000290">
            <w:pPr>
              <w:rPr/>
            </w:pPr>
            <w:r w:rsidDel="00000000" w:rsidR="00000000" w:rsidRPr="00000000">
              <w:rPr>
                <w:rtl w:val="0"/>
              </w:rPr>
              <w:t xml:space="preserve">60+</w:t>
            </w:r>
          </w:p>
        </w:tc>
        <w:tc>
          <w:tcPr>
            <w:vAlign w:val="center"/>
          </w:tcPr>
          <w:p w:rsidR="00000000" w:rsidDel="00000000" w:rsidP="00000000" w:rsidRDefault="00000000" w:rsidRPr="00000000" w14:paraId="00000291">
            <w:pPr>
              <w:rPr/>
            </w:pPr>
            <w:r w:rsidDel="00000000" w:rsidR="00000000" w:rsidRPr="00000000">
              <w:rPr>
                <w:rtl w:val="0"/>
              </w:rPr>
              <w:t xml:space="preserve">1–&lt;3 år</w:t>
            </w:r>
          </w:p>
        </w:tc>
        <w:tc>
          <w:tcPr>
            <w:vAlign w:val="center"/>
          </w:tcPr>
          <w:p w:rsidR="00000000" w:rsidDel="00000000" w:rsidP="00000000" w:rsidRDefault="00000000" w:rsidRPr="00000000" w14:paraId="00000292">
            <w:pPr>
              <w:rPr/>
            </w:pPr>
            <w:r w:rsidDel="00000000" w:rsidR="00000000" w:rsidRPr="00000000">
              <w:rPr>
                <w:rtl w:val="0"/>
              </w:rPr>
              <w:t xml:space="preserve">5</w:t>
            </w:r>
          </w:p>
        </w:tc>
        <w:tc>
          <w:tcPr>
            <w:vAlign w:val="center"/>
          </w:tcPr>
          <w:p w:rsidR="00000000" w:rsidDel="00000000" w:rsidP="00000000" w:rsidRDefault="00000000" w:rsidRPr="00000000" w14:paraId="00000293">
            <w:pPr>
              <w:rPr/>
            </w:pPr>
            <w:r w:rsidDel="00000000" w:rsidR="00000000" w:rsidRPr="00000000">
              <w:rPr>
                <w:rtl w:val="0"/>
              </w:rPr>
              <w:t xml:space="preserve">2.28</w:t>
            </w:r>
          </w:p>
        </w:tc>
        <w:tc>
          <w:tcPr>
            <w:vAlign w:val="center"/>
          </w:tcPr>
          <w:p w:rsidR="00000000" w:rsidDel="00000000" w:rsidP="00000000" w:rsidRDefault="00000000" w:rsidRPr="00000000" w14:paraId="00000294">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295">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296">
            <w:pPr>
              <w:rPr/>
            </w:pPr>
            <w:r w:rsidDel="00000000" w:rsidR="00000000" w:rsidRPr="00000000">
              <w:rPr>
                <w:rtl w:val="0"/>
              </w:rPr>
              <w:t xml:space="preserve">Mand</w:t>
            </w:r>
          </w:p>
        </w:tc>
        <w:tc>
          <w:tcPr>
            <w:vAlign w:val="center"/>
          </w:tcPr>
          <w:p w:rsidR="00000000" w:rsidDel="00000000" w:rsidP="00000000" w:rsidRDefault="00000000" w:rsidRPr="00000000" w14:paraId="00000297">
            <w:pPr>
              <w:rPr/>
            </w:pPr>
            <w:r w:rsidDel="00000000" w:rsidR="00000000" w:rsidRPr="00000000">
              <w:rPr>
                <w:rtl w:val="0"/>
              </w:rPr>
              <w:t xml:space="preserve">60+</w:t>
            </w:r>
          </w:p>
        </w:tc>
        <w:tc>
          <w:tcPr>
            <w:vAlign w:val="center"/>
          </w:tcPr>
          <w:p w:rsidR="00000000" w:rsidDel="00000000" w:rsidP="00000000" w:rsidRDefault="00000000" w:rsidRPr="00000000" w14:paraId="00000298">
            <w:pPr>
              <w:rPr/>
            </w:pPr>
            <w:r w:rsidDel="00000000" w:rsidR="00000000" w:rsidRPr="00000000">
              <w:rPr>
                <w:rtl w:val="0"/>
              </w:rPr>
              <w:t xml:space="preserve">≥6 år</w:t>
            </w:r>
          </w:p>
        </w:tc>
        <w:tc>
          <w:tcPr>
            <w:vAlign w:val="center"/>
          </w:tcPr>
          <w:p w:rsidR="00000000" w:rsidDel="00000000" w:rsidP="00000000" w:rsidRDefault="00000000" w:rsidRPr="00000000" w14:paraId="00000299">
            <w:pPr>
              <w:rPr/>
            </w:pPr>
            <w:r w:rsidDel="00000000" w:rsidR="00000000" w:rsidRPr="00000000">
              <w:rPr>
                <w:rtl w:val="0"/>
              </w:rPr>
              <w:t xml:space="preserve">4</w:t>
            </w:r>
          </w:p>
        </w:tc>
        <w:tc>
          <w:tcPr>
            <w:vAlign w:val="center"/>
          </w:tcPr>
          <w:p w:rsidR="00000000" w:rsidDel="00000000" w:rsidP="00000000" w:rsidRDefault="00000000" w:rsidRPr="00000000" w14:paraId="0000029A">
            <w:pPr>
              <w:rPr/>
            </w:pPr>
            <w:r w:rsidDel="00000000" w:rsidR="00000000" w:rsidRPr="00000000">
              <w:rPr>
                <w:rtl w:val="0"/>
              </w:rPr>
              <w:t xml:space="preserve">1.23</w:t>
            </w:r>
          </w:p>
        </w:tc>
        <w:tc>
          <w:tcPr>
            <w:vAlign w:val="center"/>
          </w:tcPr>
          <w:p w:rsidR="00000000" w:rsidDel="00000000" w:rsidP="00000000" w:rsidRDefault="00000000" w:rsidRPr="00000000" w14:paraId="0000029B">
            <w:pPr>
              <w:rPr/>
            </w:pPr>
            <w:r w:rsidDel="00000000" w:rsidR="00000000" w:rsidRPr="00000000">
              <w:rPr>
                <w:rtl w:val="0"/>
              </w:rPr>
              <w:t xml:space="preserve">50</w:t>
            </w:r>
          </w:p>
        </w:tc>
      </w:tr>
    </w:tbl>
    <w:p w:rsidR="00000000" w:rsidDel="00000000" w:rsidP="00000000" w:rsidRDefault="00000000" w:rsidRPr="00000000" w14:paraId="0000029C">
      <w:pPr>
        <w:rPr>
          <w:b w:val="1"/>
          <w:bCs w:val="1"/>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Tabel R6. Hovedpine (VAS) – stratificeret oversigt (n, gennemsnitlig ændring, responderandel).</w:t>
      </w:r>
    </w:p>
    <w:tbl>
      <w:tblPr>
        <w:tblStyle w:val="Table12"/>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1437"/>
        <w:gridCol w:w="1326"/>
        <w:gridCol w:w="1266"/>
        <w:gridCol w:w="1511"/>
        <w:gridCol w:w="1677"/>
        <w:tblGridChange w:id="0">
          <w:tblGrid>
            <w:gridCol w:w="1413"/>
            <w:gridCol w:w="1437"/>
            <w:gridCol w:w="1326"/>
            <w:gridCol w:w="1266"/>
            <w:gridCol w:w="1511"/>
            <w:gridCol w:w="1677"/>
          </w:tblGrid>
        </w:tblGridChange>
      </w:tblGrid>
      <w:tr>
        <w:trPr>
          <w:cantSplit w:val="0"/>
          <w:tblHeader w:val="1"/>
        </w:trPr>
        <w:tc>
          <w:tcPr>
            <w:vAlign w:val="center"/>
          </w:tcPr>
          <w:p w:rsidR="00000000" w:rsidDel="00000000" w:rsidP="00000000" w:rsidRDefault="00000000" w:rsidRPr="00000000" w14:paraId="0000029E">
            <w:pPr>
              <w:rPr/>
            </w:pPr>
            <w:r w:rsidDel="00000000" w:rsidR="00000000" w:rsidRPr="00000000">
              <w:rPr>
                <w:rtl w:val="0"/>
              </w:rPr>
              <w:t xml:space="preserve">Køn</w:t>
            </w:r>
          </w:p>
        </w:tc>
        <w:tc>
          <w:tcPr>
            <w:vAlign w:val="center"/>
          </w:tcPr>
          <w:p w:rsidR="00000000" w:rsidDel="00000000" w:rsidP="00000000" w:rsidRDefault="00000000" w:rsidRPr="00000000" w14:paraId="0000029F">
            <w:pPr>
              <w:rPr/>
            </w:pPr>
            <w:r w:rsidDel="00000000" w:rsidR="00000000" w:rsidRPr="00000000">
              <w:rPr>
                <w:rtl w:val="0"/>
              </w:rPr>
              <w:t xml:space="preserve">Aldersgruppe</w:t>
            </w:r>
          </w:p>
        </w:tc>
        <w:tc>
          <w:tcPr>
            <w:vAlign w:val="center"/>
          </w:tcPr>
          <w:p w:rsidR="00000000" w:rsidDel="00000000" w:rsidP="00000000" w:rsidRDefault="00000000" w:rsidRPr="00000000" w14:paraId="000002A0">
            <w:pPr>
              <w:rPr/>
            </w:pPr>
            <w:r w:rsidDel="00000000" w:rsidR="00000000" w:rsidRPr="00000000">
              <w:rPr>
                <w:rtl w:val="0"/>
              </w:rPr>
              <w:t xml:space="preserve">Tid siden skade</w:t>
            </w:r>
          </w:p>
        </w:tc>
        <w:tc>
          <w:tcPr>
            <w:vAlign w:val="center"/>
          </w:tcPr>
          <w:p w:rsidR="00000000" w:rsidDel="00000000" w:rsidP="00000000" w:rsidRDefault="00000000" w:rsidRPr="00000000" w14:paraId="000002A1">
            <w:pPr>
              <w:rPr/>
            </w:pPr>
            <w:r w:rsidDel="00000000" w:rsidR="00000000" w:rsidRPr="00000000">
              <w:rPr>
                <w:rtl w:val="0"/>
              </w:rPr>
              <w:t xml:space="preserve">N</w:t>
            </w:r>
          </w:p>
        </w:tc>
        <w:tc>
          <w:tcPr>
            <w:vAlign w:val="center"/>
          </w:tcPr>
          <w:p w:rsidR="00000000" w:rsidDel="00000000" w:rsidP="00000000" w:rsidRDefault="00000000" w:rsidRPr="00000000" w14:paraId="000002A2">
            <w:pPr>
              <w:rPr/>
            </w:pPr>
            <w:r w:rsidDel="00000000" w:rsidR="00000000" w:rsidRPr="00000000">
              <w:rPr>
                <w:rtl w:val="0"/>
              </w:rPr>
              <w:t xml:space="preserve">Gennemsnitlig ændring</w:t>
            </w:r>
          </w:p>
        </w:tc>
        <w:tc>
          <w:tcPr>
            <w:vAlign w:val="center"/>
          </w:tcPr>
          <w:p w:rsidR="00000000" w:rsidDel="00000000" w:rsidP="00000000" w:rsidRDefault="00000000" w:rsidRPr="00000000" w14:paraId="000002A3">
            <w:pPr>
              <w:rPr/>
            </w:pPr>
            <w:r w:rsidDel="00000000" w:rsidR="00000000" w:rsidRPr="00000000">
              <w:rPr>
                <w:rtl w:val="0"/>
              </w:rPr>
              <w:t xml:space="preserve">Responderandel (%)</w:t>
            </w:r>
          </w:p>
        </w:tc>
      </w:tr>
      <w:tr>
        <w:trPr>
          <w:cantSplit w:val="0"/>
          <w:tblHeader w:val="0"/>
        </w:trPr>
        <w:tc>
          <w:tcPr/>
          <w:p w:rsidR="00000000" w:rsidDel="00000000" w:rsidP="00000000" w:rsidRDefault="00000000" w:rsidRPr="00000000" w14:paraId="000002A4">
            <w:pPr>
              <w:rPr/>
            </w:pPr>
            <w:r w:rsidDel="00000000" w:rsidR="00000000" w:rsidRPr="00000000">
              <w:rPr>
                <w:rtl w:val="0"/>
              </w:rPr>
              <w:t xml:space="preserve">Kvinde</w:t>
            </w:r>
          </w:p>
        </w:tc>
        <w:tc>
          <w:tcPr/>
          <w:p w:rsidR="00000000" w:rsidDel="00000000" w:rsidP="00000000" w:rsidRDefault="00000000" w:rsidRPr="00000000" w14:paraId="000002A5">
            <w:pPr>
              <w:rPr/>
            </w:pPr>
            <w:r w:rsidDel="00000000" w:rsidR="00000000" w:rsidRPr="00000000">
              <w:rPr>
                <w:rtl w:val="0"/>
              </w:rPr>
              <w:t xml:space="preserve">&lt;30</w:t>
            </w:r>
          </w:p>
        </w:tc>
        <w:tc>
          <w:tcPr/>
          <w:p w:rsidR="00000000" w:rsidDel="00000000" w:rsidP="00000000" w:rsidRDefault="00000000" w:rsidRPr="00000000" w14:paraId="000002A6">
            <w:pPr>
              <w:rPr/>
            </w:pPr>
            <w:r w:rsidDel="00000000" w:rsidR="00000000" w:rsidRPr="00000000">
              <w:rPr>
                <w:rtl w:val="0"/>
              </w:rPr>
              <w:t xml:space="preserve">1–&lt;3 år</w:t>
            </w:r>
          </w:p>
        </w:tc>
        <w:tc>
          <w:tcPr/>
          <w:p w:rsidR="00000000" w:rsidDel="00000000" w:rsidP="00000000" w:rsidRDefault="00000000" w:rsidRPr="00000000" w14:paraId="000002A7">
            <w:pPr>
              <w:rPr/>
            </w:pPr>
            <w:r w:rsidDel="00000000" w:rsidR="00000000" w:rsidRPr="00000000">
              <w:rPr>
                <w:rtl w:val="0"/>
              </w:rPr>
              <w:t xml:space="preserve">3</w:t>
            </w:r>
          </w:p>
        </w:tc>
        <w:tc>
          <w:tcPr/>
          <w:p w:rsidR="00000000" w:rsidDel="00000000" w:rsidP="00000000" w:rsidRDefault="00000000" w:rsidRPr="00000000" w14:paraId="000002A8">
            <w:pPr>
              <w:rPr/>
            </w:pPr>
            <w:r w:rsidDel="00000000" w:rsidR="00000000" w:rsidRPr="00000000">
              <w:rPr>
                <w:rtl w:val="0"/>
              </w:rPr>
              <w:t xml:space="preserve">4.00</w:t>
            </w:r>
          </w:p>
        </w:tc>
        <w:tc>
          <w:tcPr/>
          <w:p w:rsidR="00000000" w:rsidDel="00000000" w:rsidP="00000000" w:rsidRDefault="00000000" w:rsidRPr="00000000" w14:paraId="000002A9">
            <w:pPr>
              <w:rPr/>
            </w:pPr>
            <w:r w:rsidDel="00000000" w:rsidR="00000000" w:rsidRPr="00000000">
              <w:rPr>
                <w:rtl w:val="0"/>
              </w:rPr>
              <w:t xml:space="preserve">67</w:t>
            </w:r>
          </w:p>
        </w:tc>
      </w:tr>
      <w:tr>
        <w:trPr>
          <w:cantSplit w:val="0"/>
          <w:tblHeader w:val="0"/>
        </w:trPr>
        <w:tc>
          <w:tcPr/>
          <w:p w:rsidR="00000000" w:rsidDel="00000000" w:rsidP="00000000" w:rsidRDefault="00000000" w:rsidRPr="00000000" w14:paraId="000002AA">
            <w:pPr>
              <w:rPr/>
            </w:pPr>
            <w:r w:rsidDel="00000000" w:rsidR="00000000" w:rsidRPr="00000000">
              <w:rPr>
                <w:rtl w:val="0"/>
              </w:rPr>
              <w:t xml:space="preserve">Kvinde</w:t>
            </w:r>
          </w:p>
        </w:tc>
        <w:tc>
          <w:tcPr/>
          <w:p w:rsidR="00000000" w:rsidDel="00000000" w:rsidP="00000000" w:rsidRDefault="00000000" w:rsidRPr="00000000" w14:paraId="000002AB">
            <w:pPr>
              <w:rPr/>
            </w:pPr>
            <w:r w:rsidDel="00000000" w:rsidR="00000000" w:rsidRPr="00000000">
              <w:rPr>
                <w:rtl w:val="0"/>
              </w:rPr>
              <w:t xml:space="preserve">&lt;30</w:t>
            </w:r>
          </w:p>
        </w:tc>
        <w:tc>
          <w:tcPr/>
          <w:p w:rsidR="00000000" w:rsidDel="00000000" w:rsidP="00000000" w:rsidRDefault="00000000" w:rsidRPr="00000000" w14:paraId="000002AC">
            <w:pPr>
              <w:rPr/>
            </w:pPr>
            <w:r w:rsidDel="00000000" w:rsidR="00000000" w:rsidRPr="00000000">
              <w:rPr>
                <w:rtl w:val="0"/>
              </w:rPr>
              <w:t xml:space="preserve">3–&lt;6 år</w:t>
            </w:r>
          </w:p>
        </w:tc>
        <w:tc>
          <w:tcPr/>
          <w:p w:rsidR="00000000" w:rsidDel="00000000" w:rsidP="00000000" w:rsidRDefault="00000000" w:rsidRPr="00000000" w14:paraId="000002AD">
            <w:pPr>
              <w:rPr/>
            </w:pPr>
            <w:r w:rsidDel="00000000" w:rsidR="00000000" w:rsidRPr="00000000">
              <w:rPr>
                <w:rtl w:val="0"/>
              </w:rPr>
              <w:t xml:space="preserve">2</w:t>
            </w:r>
          </w:p>
        </w:tc>
        <w:tc>
          <w:tcPr/>
          <w:p w:rsidR="00000000" w:rsidDel="00000000" w:rsidP="00000000" w:rsidRDefault="00000000" w:rsidRPr="00000000" w14:paraId="000002AE">
            <w:pPr>
              <w:rPr/>
            </w:pPr>
            <w:r w:rsidDel="00000000" w:rsidR="00000000" w:rsidRPr="00000000">
              <w:rPr>
                <w:rtl w:val="0"/>
              </w:rPr>
              <w:t xml:space="preserve">9.00</w:t>
            </w:r>
          </w:p>
        </w:tc>
        <w:tc>
          <w:tcPr/>
          <w:p w:rsidR="00000000" w:rsidDel="00000000" w:rsidP="00000000" w:rsidRDefault="00000000" w:rsidRPr="00000000" w14:paraId="000002AF">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B0">
            <w:pPr>
              <w:rPr/>
            </w:pPr>
            <w:r w:rsidDel="00000000" w:rsidR="00000000" w:rsidRPr="00000000">
              <w:rPr>
                <w:rtl w:val="0"/>
              </w:rPr>
              <w:t xml:space="preserve">Kvinde</w:t>
            </w:r>
          </w:p>
        </w:tc>
        <w:tc>
          <w:tcPr/>
          <w:p w:rsidR="00000000" w:rsidDel="00000000" w:rsidP="00000000" w:rsidRDefault="00000000" w:rsidRPr="00000000" w14:paraId="000002B1">
            <w:pPr>
              <w:rPr/>
            </w:pPr>
            <w:r w:rsidDel="00000000" w:rsidR="00000000" w:rsidRPr="00000000">
              <w:rPr>
                <w:rtl w:val="0"/>
              </w:rPr>
              <w:t xml:space="preserve">30–44</w:t>
            </w:r>
          </w:p>
        </w:tc>
        <w:tc>
          <w:tcPr/>
          <w:p w:rsidR="00000000" w:rsidDel="00000000" w:rsidP="00000000" w:rsidRDefault="00000000" w:rsidRPr="00000000" w14:paraId="000002B2">
            <w:pPr>
              <w:rPr/>
            </w:pPr>
            <w:r w:rsidDel="00000000" w:rsidR="00000000" w:rsidRPr="00000000">
              <w:rPr>
                <w:rtl w:val="0"/>
              </w:rPr>
              <w:t xml:space="preserve">1–&lt;3 år</w:t>
            </w:r>
          </w:p>
        </w:tc>
        <w:tc>
          <w:tcPr/>
          <w:p w:rsidR="00000000" w:rsidDel="00000000" w:rsidP="00000000" w:rsidRDefault="00000000" w:rsidRPr="00000000" w14:paraId="000002B3">
            <w:pPr>
              <w:rPr/>
            </w:pPr>
            <w:r w:rsidDel="00000000" w:rsidR="00000000" w:rsidRPr="00000000">
              <w:rPr>
                <w:rtl w:val="0"/>
              </w:rPr>
              <w:t xml:space="preserve">1</w:t>
            </w:r>
          </w:p>
        </w:tc>
        <w:tc>
          <w:tcPr/>
          <w:p w:rsidR="00000000" w:rsidDel="00000000" w:rsidP="00000000" w:rsidRDefault="00000000" w:rsidRPr="00000000" w14:paraId="000002B4">
            <w:pPr>
              <w:rPr/>
            </w:pPr>
            <w:r w:rsidDel="00000000" w:rsidR="00000000" w:rsidRPr="00000000">
              <w:rPr>
                <w:rtl w:val="0"/>
              </w:rPr>
              <w:t xml:space="preserve">5.00</w:t>
            </w:r>
          </w:p>
        </w:tc>
        <w:tc>
          <w:tcPr/>
          <w:p w:rsidR="00000000" w:rsidDel="00000000" w:rsidP="00000000" w:rsidRDefault="00000000" w:rsidRPr="00000000" w14:paraId="000002B5">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B6">
            <w:pPr>
              <w:rPr/>
            </w:pPr>
            <w:r w:rsidDel="00000000" w:rsidR="00000000" w:rsidRPr="00000000">
              <w:rPr>
                <w:rtl w:val="0"/>
              </w:rPr>
              <w:t xml:space="preserve">Kvinde</w:t>
            </w:r>
          </w:p>
        </w:tc>
        <w:tc>
          <w:tcPr/>
          <w:p w:rsidR="00000000" w:rsidDel="00000000" w:rsidP="00000000" w:rsidRDefault="00000000" w:rsidRPr="00000000" w14:paraId="000002B7">
            <w:pPr>
              <w:rPr/>
            </w:pPr>
            <w:r w:rsidDel="00000000" w:rsidR="00000000" w:rsidRPr="00000000">
              <w:rPr>
                <w:rtl w:val="0"/>
              </w:rPr>
              <w:t xml:space="preserve">30–44</w:t>
            </w:r>
          </w:p>
        </w:tc>
        <w:tc>
          <w:tcPr/>
          <w:p w:rsidR="00000000" w:rsidDel="00000000" w:rsidP="00000000" w:rsidRDefault="00000000" w:rsidRPr="00000000" w14:paraId="000002B8">
            <w:pPr>
              <w:rPr/>
            </w:pPr>
            <w:r w:rsidDel="00000000" w:rsidR="00000000" w:rsidRPr="00000000">
              <w:rPr>
                <w:rtl w:val="0"/>
              </w:rPr>
              <w:t xml:space="preserve">3–&lt;6 år</w:t>
            </w:r>
          </w:p>
        </w:tc>
        <w:tc>
          <w:tcPr/>
          <w:p w:rsidR="00000000" w:rsidDel="00000000" w:rsidP="00000000" w:rsidRDefault="00000000" w:rsidRPr="00000000" w14:paraId="000002B9">
            <w:pPr>
              <w:rPr/>
            </w:pPr>
            <w:r w:rsidDel="00000000" w:rsidR="00000000" w:rsidRPr="00000000">
              <w:rPr>
                <w:rtl w:val="0"/>
              </w:rPr>
              <w:t xml:space="preserve">3</w:t>
            </w:r>
          </w:p>
        </w:tc>
        <w:tc>
          <w:tcPr/>
          <w:p w:rsidR="00000000" w:rsidDel="00000000" w:rsidP="00000000" w:rsidRDefault="00000000" w:rsidRPr="00000000" w14:paraId="000002BA">
            <w:pPr>
              <w:rPr/>
            </w:pPr>
            <w:r w:rsidDel="00000000" w:rsidR="00000000" w:rsidRPr="00000000">
              <w:rPr>
                <w:rtl w:val="0"/>
              </w:rPr>
              <w:t xml:space="preserve">4.67</w:t>
            </w:r>
          </w:p>
        </w:tc>
        <w:tc>
          <w:tcPr/>
          <w:p w:rsidR="00000000" w:rsidDel="00000000" w:rsidP="00000000" w:rsidRDefault="00000000" w:rsidRPr="00000000" w14:paraId="000002BB">
            <w:pPr>
              <w:rPr/>
            </w:pPr>
            <w:r w:rsidDel="00000000" w:rsidR="00000000" w:rsidRPr="00000000">
              <w:rPr>
                <w:rtl w:val="0"/>
              </w:rPr>
              <w:t xml:space="preserve">67</w:t>
            </w:r>
          </w:p>
        </w:tc>
      </w:tr>
      <w:tr>
        <w:trPr>
          <w:cantSplit w:val="0"/>
          <w:tblHeader w:val="0"/>
        </w:trPr>
        <w:tc>
          <w:tcPr/>
          <w:p w:rsidR="00000000" w:rsidDel="00000000" w:rsidP="00000000" w:rsidRDefault="00000000" w:rsidRPr="00000000" w14:paraId="000002BC">
            <w:pPr>
              <w:rPr/>
            </w:pPr>
            <w:r w:rsidDel="00000000" w:rsidR="00000000" w:rsidRPr="00000000">
              <w:rPr>
                <w:rtl w:val="0"/>
              </w:rPr>
              <w:t xml:space="preserve">Kvinde</w:t>
            </w:r>
          </w:p>
        </w:tc>
        <w:tc>
          <w:tcPr/>
          <w:p w:rsidR="00000000" w:rsidDel="00000000" w:rsidP="00000000" w:rsidRDefault="00000000" w:rsidRPr="00000000" w14:paraId="000002BD">
            <w:pPr>
              <w:rPr/>
            </w:pPr>
            <w:r w:rsidDel="00000000" w:rsidR="00000000" w:rsidRPr="00000000">
              <w:rPr>
                <w:rtl w:val="0"/>
              </w:rPr>
              <w:t xml:space="preserve">45–59</w:t>
            </w:r>
          </w:p>
        </w:tc>
        <w:tc>
          <w:tcPr/>
          <w:p w:rsidR="00000000" w:rsidDel="00000000" w:rsidP="00000000" w:rsidRDefault="00000000" w:rsidRPr="00000000" w14:paraId="000002BE">
            <w:pPr>
              <w:rPr/>
            </w:pPr>
            <w:r w:rsidDel="00000000" w:rsidR="00000000" w:rsidRPr="00000000">
              <w:rPr>
                <w:rtl w:val="0"/>
              </w:rPr>
              <w:t xml:space="preserve">1–&lt;3 år</w:t>
            </w:r>
          </w:p>
        </w:tc>
        <w:tc>
          <w:tcPr/>
          <w:p w:rsidR="00000000" w:rsidDel="00000000" w:rsidP="00000000" w:rsidRDefault="00000000" w:rsidRPr="00000000" w14:paraId="000002BF">
            <w:pPr>
              <w:rPr/>
            </w:pPr>
            <w:r w:rsidDel="00000000" w:rsidR="00000000" w:rsidRPr="00000000">
              <w:rPr>
                <w:rtl w:val="0"/>
              </w:rPr>
              <w:t xml:space="preserve">3</w:t>
            </w:r>
          </w:p>
        </w:tc>
        <w:tc>
          <w:tcPr/>
          <w:p w:rsidR="00000000" w:rsidDel="00000000" w:rsidP="00000000" w:rsidRDefault="00000000" w:rsidRPr="00000000" w14:paraId="000002C0">
            <w:pPr>
              <w:rPr/>
            </w:pPr>
            <w:r w:rsidDel="00000000" w:rsidR="00000000" w:rsidRPr="00000000">
              <w:rPr>
                <w:rtl w:val="0"/>
              </w:rPr>
              <w:t xml:space="preserve">3.33</w:t>
            </w:r>
          </w:p>
        </w:tc>
        <w:tc>
          <w:tcPr/>
          <w:p w:rsidR="00000000" w:rsidDel="00000000" w:rsidP="00000000" w:rsidRDefault="00000000" w:rsidRPr="00000000" w14:paraId="000002C1">
            <w:pPr>
              <w:rPr/>
            </w:pPr>
            <w:r w:rsidDel="00000000" w:rsidR="00000000" w:rsidRPr="00000000">
              <w:rPr>
                <w:rtl w:val="0"/>
              </w:rPr>
              <w:t xml:space="preserve">67</w:t>
            </w:r>
          </w:p>
        </w:tc>
      </w:tr>
      <w:tr>
        <w:trPr>
          <w:cantSplit w:val="0"/>
          <w:tblHeader w:val="0"/>
        </w:trPr>
        <w:tc>
          <w:tcPr/>
          <w:p w:rsidR="00000000" w:rsidDel="00000000" w:rsidP="00000000" w:rsidRDefault="00000000" w:rsidRPr="00000000" w14:paraId="000002C2">
            <w:pPr>
              <w:rPr/>
            </w:pPr>
            <w:r w:rsidDel="00000000" w:rsidR="00000000" w:rsidRPr="00000000">
              <w:rPr>
                <w:rtl w:val="0"/>
              </w:rPr>
              <w:t xml:space="preserve">Kvinde</w:t>
            </w:r>
          </w:p>
        </w:tc>
        <w:tc>
          <w:tcPr/>
          <w:p w:rsidR="00000000" w:rsidDel="00000000" w:rsidP="00000000" w:rsidRDefault="00000000" w:rsidRPr="00000000" w14:paraId="000002C3">
            <w:pPr>
              <w:rPr/>
            </w:pPr>
            <w:r w:rsidDel="00000000" w:rsidR="00000000" w:rsidRPr="00000000">
              <w:rPr>
                <w:rtl w:val="0"/>
              </w:rPr>
              <w:t xml:space="preserve">45–59</w:t>
            </w:r>
          </w:p>
        </w:tc>
        <w:tc>
          <w:tcPr/>
          <w:p w:rsidR="00000000" w:rsidDel="00000000" w:rsidP="00000000" w:rsidRDefault="00000000" w:rsidRPr="00000000" w14:paraId="000002C4">
            <w:pPr>
              <w:rPr/>
            </w:pPr>
            <w:r w:rsidDel="00000000" w:rsidR="00000000" w:rsidRPr="00000000">
              <w:rPr>
                <w:rtl w:val="0"/>
              </w:rPr>
              <w:t xml:space="preserve">3–&lt;6 år</w:t>
            </w:r>
          </w:p>
        </w:tc>
        <w:tc>
          <w:tcPr/>
          <w:p w:rsidR="00000000" w:rsidDel="00000000" w:rsidP="00000000" w:rsidRDefault="00000000" w:rsidRPr="00000000" w14:paraId="000002C5">
            <w:pPr>
              <w:rPr/>
            </w:pPr>
            <w:r w:rsidDel="00000000" w:rsidR="00000000" w:rsidRPr="00000000">
              <w:rPr>
                <w:rtl w:val="0"/>
              </w:rPr>
              <w:t xml:space="preserve">3</w:t>
            </w:r>
          </w:p>
        </w:tc>
        <w:tc>
          <w:tcPr/>
          <w:p w:rsidR="00000000" w:rsidDel="00000000" w:rsidP="00000000" w:rsidRDefault="00000000" w:rsidRPr="00000000" w14:paraId="000002C6">
            <w:pPr>
              <w:rPr/>
            </w:pPr>
            <w:r w:rsidDel="00000000" w:rsidR="00000000" w:rsidRPr="00000000">
              <w:rPr>
                <w:rtl w:val="0"/>
              </w:rPr>
              <w:t xml:space="preserve">6.33</w:t>
            </w:r>
          </w:p>
        </w:tc>
        <w:tc>
          <w:tcPr/>
          <w:p w:rsidR="00000000" w:rsidDel="00000000" w:rsidP="00000000" w:rsidRDefault="00000000" w:rsidRPr="00000000" w14:paraId="000002C7">
            <w:pPr>
              <w:rPr/>
            </w:pPr>
            <w:r w:rsidDel="00000000" w:rsidR="00000000" w:rsidRPr="00000000">
              <w:rPr>
                <w:rtl w:val="0"/>
              </w:rPr>
              <w:t xml:space="preserve">67</w:t>
            </w:r>
          </w:p>
        </w:tc>
      </w:tr>
      <w:tr>
        <w:trPr>
          <w:cantSplit w:val="0"/>
          <w:tblHeader w:val="0"/>
        </w:trPr>
        <w:tc>
          <w:tcPr/>
          <w:p w:rsidR="00000000" w:rsidDel="00000000" w:rsidP="00000000" w:rsidRDefault="00000000" w:rsidRPr="00000000" w14:paraId="000002C8">
            <w:pPr>
              <w:rPr/>
            </w:pPr>
            <w:r w:rsidDel="00000000" w:rsidR="00000000" w:rsidRPr="00000000">
              <w:rPr>
                <w:rtl w:val="0"/>
              </w:rPr>
              <w:t xml:space="preserve">Kvinde</w:t>
            </w:r>
          </w:p>
        </w:tc>
        <w:tc>
          <w:tcPr/>
          <w:p w:rsidR="00000000" w:rsidDel="00000000" w:rsidP="00000000" w:rsidRDefault="00000000" w:rsidRPr="00000000" w14:paraId="000002C9">
            <w:pPr>
              <w:rPr/>
            </w:pPr>
            <w:r w:rsidDel="00000000" w:rsidR="00000000" w:rsidRPr="00000000">
              <w:rPr>
                <w:rtl w:val="0"/>
              </w:rPr>
              <w:t xml:space="preserve">45–59</w:t>
            </w:r>
          </w:p>
        </w:tc>
        <w:tc>
          <w:tcPr/>
          <w:p w:rsidR="00000000" w:rsidDel="00000000" w:rsidP="00000000" w:rsidRDefault="00000000" w:rsidRPr="00000000" w14:paraId="000002CA">
            <w:pPr>
              <w:rPr/>
            </w:pPr>
            <w:r w:rsidDel="00000000" w:rsidR="00000000" w:rsidRPr="00000000">
              <w:rPr>
                <w:rtl w:val="0"/>
              </w:rPr>
              <w:t xml:space="preserve">≥6 år</w:t>
            </w:r>
          </w:p>
        </w:tc>
        <w:tc>
          <w:tcPr/>
          <w:p w:rsidR="00000000" w:rsidDel="00000000" w:rsidP="00000000" w:rsidRDefault="00000000" w:rsidRPr="00000000" w14:paraId="000002CB">
            <w:pPr>
              <w:rPr/>
            </w:pPr>
            <w:r w:rsidDel="00000000" w:rsidR="00000000" w:rsidRPr="00000000">
              <w:rPr>
                <w:rtl w:val="0"/>
              </w:rPr>
              <w:t xml:space="preserve">3</w:t>
            </w:r>
          </w:p>
        </w:tc>
        <w:tc>
          <w:tcPr/>
          <w:p w:rsidR="00000000" w:rsidDel="00000000" w:rsidP="00000000" w:rsidRDefault="00000000" w:rsidRPr="00000000" w14:paraId="000002CC">
            <w:pPr>
              <w:rPr/>
            </w:pPr>
            <w:r w:rsidDel="00000000" w:rsidR="00000000" w:rsidRPr="00000000">
              <w:rPr>
                <w:rtl w:val="0"/>
              </w:rPr>
              <w:t xml:space="preserve">3.67</w:t>
            </w:r>
          </w:p>
        </w:tc>
        <w:tc>
          <w:tcPr/>
          <w:p w:rsidR="00000000" w:rsidDel="00000000" w:rsidP="00000000" w:rsidRDefault="00000000" w:rsidRPr="00000000" w14:paraId="000002CD">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CE">
            <w:pPr>
              <w:rPr/>
            </w:pPr>
            <w:r w:rsidDel="00000000" w:rsidR="00000000" w:rsidRPr="00000000">
              <w:rPr>
                <w:rtl w:val="0"/>
              </w:rPr>
              <w:t xml:space="preserve">Mand</w:t>
            </w:r>
          </w:p>
        </w:tc>
        <w:tc>
          <w:tcPr/>
          <w:p w:rsidR="00000000" w:rsidDel="00000000" w:rsidP="00000000" w:rsidRDefault="00000000" w:rsidRPr="00000000" w14:paraId="000002CF">
            <w:pPr>
              <w:rPr/>
            </w:pPr>
            <w:r w:rsidDel="00000000" w:rsidR="00000000" w:rsidRPr="00000000">
              <w:rPr>
                <w:rtl w:val="0"/>
              </w:rPr>
              <w:t xml:space="preserve">&lt;30</w:t>
            </w:r>
          </w:p>
        </w:tc>
        <w:tc>
          <w:tcPr/>
          <w:p w:rsidR="00000000" w:rsidDel="00000000" w:rsidP="00000000" w:rsidRDefault="00000000" w:rsidRPr="00000000" w14:paraId="000002D0">
            <w:pPr>
              <w:rPr/>
            </w:pPr>
            <w:r w:rsidDel="00000000" w:rsidR="00000000" w:rsidRPr="00000000">
              <w:rPr>
                <w:rtl w:val="0"/>
              </w:rPr>
              <w:t xml:space="preserve">1–&lt;3 år</w:t>
            </w:r>
          </w:p>
        </w:tc>
        <w:tc>
          <w:tcPr/>
          <w:p w:rsidR="00000000" w:rsidDel="00000000" w:rsidP="00000000" w:rsidRDefault="00000000" w:rsidRPr="00000000" w14:paraId="000002D1">
            <w:pPr>
              <w:rPr/>
            </w:pPr>
            <w:r w:rsidDel="00000000" w:rsidR="00000000" w:rsidRPr="00000000">
              <w:rPr>
                <w:rtl w:val="0"/>
              </w:rPr>
              <w:t xml:space="preserve">1</w:t>
            </w:r>
          </w:p>
        </w:tc>
        <w:tc>
          <w:tcPr/>
          <w:p w:rsidR="00000000" w:rsidDel="00000000" w:rsidP="00000000" w:rsidRDefault="00000000" w:rsidRPr="00000000" w14:paraId="000002D2">
            <w:pPr>
              <w:rPr/>
            </w:pPr>
            <w:r w:rsidDel="00000000" w:rsidR="00000000" w:rsidRPr="00000000">
              <w:rPr>
                <w:rtl w:val="0"/>
              </w:rPr>
              <w:t xml:space="preserve">3.00</w:t>
            </w:r>
          </w:p>
        </w:tc>
        <w:tc>
          <w:tcPr/>
          <w:p w:rsidR="00000000" w:rsidDel="00000000" w:rsidP="00000000" w:rsidRDefault="00000000" w:rsidRPr="00000000" w14:paraId="000002D3">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D4">
            <w:pPr>
              <w:rPr/>
            </w:pPr>
            <w:r w:rsidDel="00000000" w:rsidR="00000000" w:rsidRPr="00000000">
              <w:rPr>
                <w:rtl w:val="0"/>
              </w:rPr>
              <w:t xml:space="preserve">Mand</w:t>
            </w:r>
          </w:p>
        </w:tc>
        <w:tc>
          <w:tcPr/>
          <w:p w:rsidR="00000000" w:rsidDel="00000000" w:rsidP="00000000" w:rsidRDefault="00000000" w:rsidRPr="00000000" w14:paraId="000002D5">
            <w:pPr>
              <w:rPr/>
            </w:pPr>
            <w:r w:rsidDel="00000000" w:rsidR="00000000" w:rsidRPr="00000000">
              <w:rPr>
                <w:rtl w:val="0"/>
              </w:rPr>
              <w:t xml:space="preserve">&lt;30</w:t>
            </w:r>
          </w:p>
        </w:tc>
        <w:tc>
          <w:tcPr/>
          <w:p w:rsidR="00000000" w:rsidDel="00000000" w:rsidP="00000000" w:rsidRDefault="00000000" w:rsidRPr="00000000" w14:paraId="000002D6">
            <w:pPr>
              <w:rPr/>
            </w:pPr>
            <w:r w:rsidDel="00000000" w:rsidR="00000000" w:rsidRPr="00000000">
              <w:rPr>
                <w:rtl w:val="0"/>
              </w:rPr>
              <w:t xml:space="preserve">≥6 år</w:t>
            </w:r>
          </w:p>
        </w:tc>
        <w:tc>
          <w:tcPr/>
          <w:p w:rsidR="00000000" w:rsidDel="00000000" w:rsidP="00000000" w:rsidRDefault="00000000" w:rsidRPr="00000000" w14:paraId="000002D7">
            <w:pPr>
              <w:rPr/>
            </w:pPr>
            <w:r w:rsidDel="00000000" w:rsidR="00000000" w:rsidRPr="00000000">
              <w:rPr>
                <w:rtl w:val="0"/>
              </w:rPr>
              <w:t xml:space="preserve">2</w:t>
            </w:r>
          </w:p>
        </w:tc>
        <w:tc>
          <w:tcPr/>
          <w:p w:rsidR="00000000" w:rsidDel="00000000" w:rsidP="00000000" w:rsidRDefault="00000000" w:rsidRPr="00000000" w14:paraId="000002D8">
            <w:pPr>
              <w:rPr/>
            </w:pPr>
            <w:r w:rsidDel="00000000" w:rsidR="00000000" w:rsidRPr="00000000">
              <w:rPr>
                <w:rtl w:val="0"/>
              </w:rPr>
              <w:t xml:space="preserve">3.75</w:t>
            </w:r>
          </w:p>
        </w:tc>
        <w:tc>
          <w:tcPr/>
          <w:p w:rsidR="00000000" w:rsidDel="00000000" w:rsidP="00000000" w:rsidRDefault="00000000" w:rsidRPr="00000000" w14:paraId="000002D9">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DA">
            <w:pPr>
              <w:rPr/>
            </w:pPr>
            <w:r w:rsidDel="00000000" w:rsidR="00000000" w:rsidRPr="00000000">
              <w:rPr>
                <w:rtl w:val="0"/>
              </w:rPr>
              <w:t xml:space="preserve">Mand</w:t>
            </w:r>
          </w:p>
        </w:tc>
        <w:tc>
          <w:tcPr/>
          <w:p w:rsidR="00000000" w:rsidDel="00000000" w:rsidP="00000000" w:rsidRDefault="00000000" w:rsidRPr="00000000" w14:paraId="000002DB">
            <w:pPr>
              <w:rPr/>
            </w:pPr>
            <w:r w:rsidDel="00000000" w:rsidR="00000000" w:rsidRPr="00000000">
              <w:rPr>
                <w:rtl w:val="0"/>
              </w:rPr>
              <w:t xml:space="preserve">30–44</w:t>
            </w:r>
          </w:p>
        </w:tc>
        <w:tc>
          <w:tcPr/>
          <w:p w:rsidR="00000000" w:rsidDel="00000000" w:rsidP="00000000" w:rsidRDefault="00000000" w:rsidRPr="00000000" w14:paraId="000002DC">
            <w:pPr>
              <w:rPr/>
            </w:pPr>
            <w:r w:rsidDel="00000000" w:rsidR="00000000" w:rsidRPr="00000000">
              <w:rPr>
                <w:rtl w:val="0"/>
              </w:rPr>
              <w:t xml:space="preserve">1–&lt;3 år</w:t>
            </w:r>
          </w:p>
        </w:tc>
        <w:tc>
          <w:tcPr/>
          <w:p w:rsidR="00000000" w:rsidDel="00000000" w:rsidP="00000000" w:rsidRDefault="00000000" w:rsidRPr="00000000" w14:paraId="000002DD">
            <w:pPr>
              <w:rPr/>
            </w:pPr>
            <w:r w:rsidDel="00000000" w:rsidR="00000000" w:rsidRPr="00000000">
              <w:rPr>
                <w:rtl w:val="0"/>
              </w:rPr>
              <w:t xml:space="preserve">1</w:t>
            </w:r>
          </w:p>
        </w:tc>
        <w:tc>
          <w:tcPr/>
          <w:p w:rsidR="00000000" w:rsidDel="00000000" w:rsidP="00000000" w:rsidRDefault="00000000" w:rsidRPr="00000000" w14:paraId="000002DE">
            <w:pPr>
              <w:rPr/>
            </w:pPr>
            <w:r w:rsidDel="00000000" w:rsidR="00000000" w:rsidRPr="00000000">
              <w:rPr>
                <w:rtl w:val="0"/>
              </w:rPr>
              <w:t xml:space="preserve">10.00</w:t>
            </w:r>
          </w:p>
        </w:tc>
        <w:tc>
          <w:tcPr/>
          <w:p w:rsidR="00000000" w:rsidDel="00000000" w:rsidP="00000000" w:rsidRDefault="00000000" w:rsidRPr="00000000" w14:paraId="000002DF">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E0">
            <w:pPr>
              <w:rPr/>
            </w:pPr>
            <w:r w:rsidDel="00000000" w:rsidR="00000000" w:rsidRPr="00000000">
              <w:rPr>
                <w:rtl w:val="0"/>
              </w:rPr>
              <w:t xml:space="preserve">Mand</w:t>
            </w:r>
          </w:p>
        </w:tc>
        <w:tc>
          <w:tcPr/>
          <w:p w:rsidR="00000000" w:rsidDel="00000000" w:rsidP="00000000" w:rsidRDefault="00000000" w:rsidRPr="00000000" w14:paraId="000002E1">
            <w:pPr>
              <w:rPr/>
            </w:pPr>
            <w:r w:rsidDel="00000000" w:rsidR="00000000" w:rsidRPr="00000000">
              <w:rPr>
                <w:rtl w:val="0"/>
              </w:rPr>
              <w:t xml:space="preserve">45–59</w:t>
            </w:r>
          </w:p>
        </w:tc>
        <w:tc>
          <w:tcPr/>
          <w:p w:rsidR="00000000" w:rsidDel="00000000" w:rsidP="00000000" w:rsidRDefault="00000000" w:rsidRPr="00000000" w14:paraId="000002E2">
            <w:pPr>
              <w:rPr/>
            </w:pPr>
            <w:r w:rsidDel="00000000" w:rsidR="00000000" w:rsidRPr="00000000">
              <w:rPr>
                <w:rtl w:val="0"/>
              </w:rPr>
              <w:t xml:space="preserve">1–&lt;3 år</w:t>
            </w:r>
          </w:p>
        </w:tc>
        <w:tc>
          <w:tcPr/>
          <w:p w:rsidR="00000000" w:rsidDel="00000000" w:rsidP="00000000" w:rsidRDefault="00000000" w:rsidRPr="00000000" w14:paraId="000002E3">
            <w:pPr>
              <w:rPr/>
            </w:pPr>
            <w:r w:rsidDel="00000000" w:rsidR="00000000" w:rsidRPr="00000000">
              <w:rPr>
                <w:rtl w:val="0"/>
              </w:rPr>
              <w:t xml:space="preserve">2</w:t>
            </w:r>
          </w:p>
        </w:tc>
        <w:tc>
          <w:tcPr/>
          <w:p w:rsidR="00000000" w:rsidDel="00000000" w:rsidP="00000000" w:rsidRDefault="00000000" w:rsidRPr="00000000" w14:paraId="000002E4">
            <w:pPr>
              <w:rPr/>
            </w:pPr>
            <w:r w:rsidDel="00000000" w:rsidR="00000000" w:rsidRPr="00000000">
              <w:rPr>
                <w:rtl w:val="0"/>
              </w:rPr>
              <w:t xml:space="preserve">2.50</w:t>
            </w:r>
          </w:p>
        </w:tc>
        <w:tc>
          <w:tcPr/>
          <w:p w:rsidR="00000000" w:rsidDel="00000000" w:rsidP="00000000" w:rsidRDefault="00000000" w:rsidRPr="00000000" w14:paraId="000002E5">
            <w:pPr>
              <w:rPr/>
            </w:pPr>
            <w:r w:rsidDel="00000000" w:rsidR="00000000" w:rsidRPr="00000000">
              <w:rPr>
                <w:rtl w:val="0"/>
              </w:rPr>
              <w:t xml:space="preserve">50</w:t>
            </w:r>
          </w:p>
        </w:tc>
      </w:tr>
      <w:tr>
        <w:trPr>
          <w:cantSplit w:val="0"/>
          <w:tblHeader w:val="0"/>
        </w:trPr>
        <w:tc>
          <w:tcPr/>
          <w:p w:rsidR="00000000" w:rsidDel="00000000" w:rsidP="00000000" w:rsidRDefault="00000000" w:rsidRPr="00000000" w14:paraId="000002E6">
            <w:pPr>
              <w:rPr/>
            </w:pPr>
            <w:r w:rsidDel="00000000" w:rsidR="00000000" w:rsidRPr="00000000">
              <w:rPr>
                <w:rtl w:val="0"/>
              </w:rPr>
              <w:t xml:space="preserve">Mand</w:t>
            </w:r>
          </w:p>
        </w:tc>
        <w:tc>
          <w:tcPr/>
          <w:p w:rsidR="00000000" w:rsidDel="00000000" w:rsidP="00000000" w:rsidRDefault="00000000" w:rsidRPr="00000000" w14:paraId="000002E7">
            <w:pPr>
              <w:rPr/>
            </w:pPr>
            <w:r w:rsidDel="00000000" w:rsidR="00000000" w:rsidRPr="00000000">
              <w:rPr>
                <w:rtl w:val="0"/>
              </w:rPr>
              <w:t xml:space="preserve">45–59</w:t>
            </w:r>
          </w:p>
        </w:tc>
        <w:tc>
          <w:tcPr/>
          <w:p w:rsidR="00000000" w:rsidDel="00000000" w:rsidP="00000000" w:rsidRDefault="00000000" w:rsidRPr="00000000" w14:paraId="000002E8">
            <w:pPr>
              <w:rPr/>
            </w:pPr>
            <w:r w:rsidDel="00000000" w:rsidR="00000000" w:rsidRPr="00000000">
              <w:rPr>
                <w:rtl w:val="0"/>
              </w:rPr>
              <w:t xml:space="preserve">≥6 år</w:t>
            </w:r>
          </w:p>
        </w:tc>
        <w:tc>
          <w:tcPr/>
          <w:p w:rsidR="00000000" w:rsidDel="00000000" w:rsidP="00000000" w:rsidRDefault="00000000" w:rsidRPr="00000000" w14:paraId="000002E9">
            <w:pPr>
              <w:rPr/>
            </w:pPr>
            <w:r w:rsidDel="00000000" w:rsidR="00000000" w:rsidRPr="00000000">
              <w:rPr>
                <w:rtl w:val="0"/>
              </w:rPr>
              <w:t xml:space="preserve">2</w:t>
            </w:r>
          </w:p>
        </w:tc>
        <w:tc>
          <w:tcPr/>
          <w:p w:rsidR="00000000" w:rsidDel="00000000" w:rsidP="00000000" w:rsidRDefault="00000000" w:rsidRPr="00000000" w14:paraId="000002EA">
            <w:pPr>
              <w:rPr/>
            </w:pPr>
            <w:r w:rsidDel="00000000" w:rsidR="00000000" w:rsidRPr="00000000">
              <w:rPr>
                <w:rtl w:val="0"/>
              </w:rPr>
              <w:t xml:space="preserve">6.00</w:t>
            </w:r>
          </w:p>
        </w:tc>
        <w:tc>
          <w:tcPr/>
          <w:p w:rsidR="00000000" w:rsidDel="00000000" w:rsidP="00000000" w:rsidRDefault="00000000" w:rsidRPr="00000000" w14:paraId="000002EB">
            <w:pPr>
              <w:rPr/>
            </w:pPr>
            <w:r w:rsidDel="00000000" w:rsidR="00000000" w:rsidRPr="00000000">
              <w:rPr>
                <w:rtl w:val="0"/>
              </w:rPr>
              <w:t xml:space="preserve">100</w:t>
            </w:r>
          </w:p>
        </w:tc>
      </w:tr>
      <w:tr>
        <w:trPr>
          <w:cantSplit w:val="0"/>
          <w:tblHeader w:val="0"/>
        </w:trPr>
        <w:tc>
          <w:tcPr/>
          <w:p w:rsidR="00000000" w:rsidDel="00000000" w:rsidP="00000000" w:rsidRDefault="00000000" w:rsidRPr="00000000" w14:paraId="000002EC">
            <w:pPr>
              <w:rPr/>
            </w:pPr>
            <w:r w:rsidDel="00000000" w:rsidR="00000000" w:rsidRPr="00000000">
              <w:rPr>
                <w:rtl w:val="0"/>
              </w:rPr>
              <w:t xml:space="preserve">Ikke klassificeret</w:t>
            </w:r>
          </w:p>
        </w:tc>
        <w:tc>
          <w:tcPr/>
          <w:p w:rsidR="00000000" w:rsidDel="00000000" w:rsidP="00000000" w:rsidRDefault="00000000" w:rsidRPr="00000000" w14:paraId="000002ED">
            <w:pPr>
              <w:rPr/>
            </w:pPr>
            <w:r w:rsidDel="00000000" w:rsidR="00000000" w:rsidRPr="00000000">
              <w:rPr>
                <w:rtl w:val="0"/>
              </w:rPr>
              <w:t xml:space="preserve">–</w:t>
            </w:r>
          </w:p>
        </w:tc>
        <w:tc>
          <w:tcPr/>
          <w:p w:rsidR="00000000" w:rsidDel="00000000" w:rsidP="00000000" w:rsidRDefault="00000000" w:rsidRPr="00000000" w14:paraId="000002EE">
            <w:pPr>
              <w:rPr/>
            </w:pPr>
            <w:r w:rsidDel="00000000" w:rsidR="00000000" w:rsidRPr="00000000">
              <w:rPr>
                <w:rtl w:val="0"/>
              </w:rPr>
              <w:t xml:space="preserve">–</w:t>
            </w:r>
          </w:p>
        </w:tc>
        <w:tc>
          <w:tcPr/>
          <w:p w:rsidR="00000000" w:rsidDel="00000000" w:rsidP="00000000" w:rsidRDefault="00000000" w:rsidRPr="00000000" w14:paraId="000002EF">
            <w:pPr>
              <w:rPr/>
            </w:pPr>
            <w:r w:rsidDel="00000000" w:rsidR="00000000" w:rsidRPr="00000000">
              <w:rPr>
                <w:rtl w:val="0"/>
              </w:rPr>
              <w:t xml:space="preserve">1</w:t>
            </w:r>
          </w:p>
        </w:tc>
        <w:tc>
          <w:tcPr/>
          <w:p w:rsidR="00000000" w:rsidDel="00000000" w:rsidP="00000000" w:rsidRDefault="00000000" w:rsidRPr="00000000" w14:paraId="000002F0">
            <w:pPr>
              <w:rPr/>
            </w:pPr>
            <w:r w:rsidDel="00000000" w:rsidR="00000000" w:rsidRPr="00000000">
              <w:rPr>
                <w:rtl w:val="0"/>
              </w:rPr>
              <w:t xml:space="preserve">5.08</w:t>
            </w:r>
          </w:p>
        </w:tc>
        <w:tc>
          <w:tcPr/>
          <w:p w:rsidR="00000000" w:rsidDel="00000000" w:rsidP="00000000" w:rsidRDefault="00000000" w:rsidRPr="00000000" w14:paraId="000002F1">
            <w:pPr>
              <w:rPr/>
            </w:pPr>
            <w:r w:rsidDel="00000000" w:rsidR="00000000" w:rsidRPr="00000000">
              <w:rPr>
                <w:rtl w:val="0"/>
              </w:rPr>
              <w:t xml:space="preserve">100</w:t>
            </w:r>
          </w:p>
        </w:tc>
      </w:tr>
    </w:tbl>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tl w:val="0"/>
        </w:rPr>
        <w:t xml:space="preserve">Tabel R7. Reaktionstid – stratificeret oversigt (n, gennemsnitlig procentvis forbedring, responderandel).</w:t>
      </w:r>
    </w:p>
    <w:tbl>
      <w:tblPr>
        <w:tblStyle w:val="Table13"/>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67"/>
        <w:gridCol w:w="802"/>
        <w:gridCol w:w="1381"/>
        <w:gridCol w:w="623"/>
        <w:gridCol w:w="1256"/>
        <w:gridCol w:w="1470"/>
        <w:gridCol w:w="1631"/>
        <w:tblGridChange w:id="0">
          <w:tblGrid>
            <w:gridCol w:w="1467"/>
            <w:gridCol w:w="802"/>
            <w:gridCol w:w="1381"/>
            <w:gridCol w:w="623"/>
            <w:gridCol w:w="1256"/>
            <w:gridCol w:w="1470"/>
            <w:gridCol w:w="1631"/>
          </w:tblGrid>
        </w:tblGridChange>
      </w:tblGrid>
      <w:tr>
        <w:trPr>
          <w:cantSplit w:val="0"/>
          <w:tblHeader w:val="1"/>
        </w:trPr>
        <w:tc>
          <w:tcPr>
            <w:vAlign w:val="center"/>
          </w:tcPr>
          <w:p w:rsidR="00000000" w:rsidDel="00000000" w:rsidP="00000000" w:rsidRDefault="00000000" w:rsidRPr="00000000" w14:paraId="000002F4">
            <w:pPr>
              <w:rPr/>
            </w:pPr>
            <w:r w:rsidDel="00000000" w:rsidR="00000000" w:rsidRPr="00000000">
              <w:rPr>
                <w:rtl w:val="0"/>
              </w:rPr>
              <w:t xml:space="preserve">Kohorte</w:t>
            </w:r>
          </w:p>
        </w:tc>
        <w:tc>
          <w:tcPr>
            <w:vAlign w:val="center"/>
          </w:tcPr>
          <w:p w:rsidR="00000000" w:rsidDel="00000000" w:rsidP="00000000" w:rsidRDefault="00000000" w:rsidRPr="00000000" w14:paraId="000002F5">
            <w:pPr>
              <w:rPr/>
            </w:pPr>
            <w:r w:rsidDel="00000000" w:rsidR="00000000" w:rsidRPr="00000000">
              <w:rPr>
                <w:rtl w:val="0"/>
              </w:rPr>
              <w:t xml:space="preserve">Køn</w:t>
            </w:r>
          </w:p>
        </w:tc>
        <w:tc>
          <w:tcPr>
            <w:vAlign w:val="center"/>
          </w:tcPr>
          <w:p w:rsidR="00000000" w:rsidDel="00000000" w:rsidP="00000000" w:rsidRDefault="00000000" w:rsidRPr="00000000" w14:paraId="000002F6">
            <w:pPr>
              <w:rPr/>
            </w:pPr>
            <w:r w:rsidDel="00000000" w:rsidR="00000000" w:rsidRPr="00000000">
              <w:rPr>
                <w:rtl w:val="0"/>
              </w:rPr>
              <w:t xml:space="preserve">Aldersgruppe</w:t>
            </w:r>
          </w:p>
        </w:tc>
        <w:tc>
          <w:tcPr>
            <w:vAlign w:val="center"/>
          </w:tcPr>
          <w:p w:rsidR="00000000" w:rsidDel="00000000" w:rsidP="00000000" w:rsidRDefault="00000000" w:rsidRPr="00000000" w14:paraId="000002F7">
            <w:pPr>
              <w:rPr/>
            </w:pPr>
            <w:r w:rsidDel="00000000" w:rsidR="00000000" w:rsidRPr="00000000">
              <w:rPr>
                <w:rtl w:val="0"/>
              </w:rPr>
              <w:t xml:space="preserve">N total</w:t>
            </w:r>
          </w:p>
        </w:tc>
        <w:tc>
          <w:tcPr>
            <w:vAlign w:val="center"/>
          </w:tcPr>
          <w:p w:rsidR="00000000" w:rsidDel="00000000" w:rsidP="00000000" w:rsidRDefault="00000000" w:rsidRPr="00000000" w14:paraId="000002F8">
            <w:pPr>
              <w:rPr/>
            </w:pPr>
            <w:r w:rsidDel="00000000" w:rsidR="00000000" w:rsidRPr="00000000">
              <w:rPr>
                <w:rtl w:val="0"/>
              </w:rPr>
              <w:t xml:space="preserve">N evaluérbare</w:t>
            </w:r>
          </w:p>
        </w:tc>
        <w:tc>
          <w:tcPr>
            <w:vAlign w:val="center"/>
          </w:tcPr>
          <w:p w:rsidR="00000000" w:rsidDel="00000000" w:rsidP="00000000" w:rsidRDefault="00000000" w:rsidRPr="00000000" w14:paraId="000002F9">
            <w:pPr>
              <w:rPr/>
            </w:pPr>
            <w:r w:rsidDel="00000000" w:rsidR="00000000" w:rsidRPr="00000000">
              <w:rPr>
                <w:rtl w:val="0"/>
              </w:rPr>
              <w:t xml:space="preserve">Gennemsnitlig % forbedring</w:t>
            </w:r>
          </w:p>
        </w:tc>
        <w:tc>
          <w:tcPr>
            <w:vAlign w:val="center"/>
          </w:tcPr>
          <w:p w:rsidR="00000000" w:rsidDel="00000000" w:rsidP="00000000" w:rsidRDefault="00000000" w:rsidRPr="00000000" w14:paraId="000002FA">
            <w:pPr>
              <w:rPr/>
            </w:pPr>
            <w:r w:rsidDel="00000000" w:rsidR="00000000" w:rsidRPr="00000000">
              <w:rPr>
                <w:rtl w:val="0"/>
              </w:rPr>
              <w:t xml:space="preserve">Responderandel (%)</w:t>
            </w:r>
          </w:p>
        </w:tc>
      </w:tr>
      <w:tr>
        <w:trPr>
          <w:cantSplit w:val="0"/>
          <w:tblHeader w:val="0"/>
        </w:trPr>
        <w:tc>
          <w:tcPr>
            <w:vAlign w:val="center"/>
          </w:tcPr>
          <w:p w:rsidR="00000000" w:rsidDel="00000000" w:rsidP="00000000" w:rsidRDefault="00000000" w:rsidRPr="00000000" w14:paraId="000002FB">
            <w:pPr>
              <w:rPr/>
            </w:pPr>
            <w:r w:rsidDel="00000000" w:rsidR="00000000" w:rsidRPr="00000000">
              <w:rPr>
                <w:rtl w:val="0"/>
              </w:rPr>
              <w:t xml:space="preserve">Hjernerystelse</w:t>
            </w:r>
          </w:p>
        </w:tc>
        <w:tc>
          <w:tcPr>
            <w:vAlign w:val="center"/>
          </w:tcPr>
          <w:p w:rsidR="00000000" w:rsidDel="00000000" w:rsidP="00000000" w:rsidRDefault="00000000" w:rsidRPr="00000000" w14:paraId="000002FC">
            <w:pPr>
              <w:rPr/>
            </w:pPr>
            <w:r w:rsidDel="00000000" w:rsidR="00000000" w:rsidRPr="00000000">
              <w:rPr>
                <w:rtl w:val="0"/>
              </w:rPr>
              <w:t xml:space="preserve">Kvinde</w:t>
            </w:r>
          </w:p>
        </w:tc>
        <w:tc>
          <w:tcPr>
            <w:vAlign w:val="center"/>
          </w:tcPr>
          <w:p w:rsidR="00000000" w:rsidDel="00000000" w:rsidP="00000000" w:rsidRDefault="00000000" w:rsidRPr="00000000" w14:paraId="000002FD">
            <w:pPr>
              <w:rPr/>
            </w:pPr>
            <w:r w:rsidDel="00000000" w:rsidR="00000000" w:rsidRPr="00000000">
              <w:rPr>
                <w:rtl w:val="0"/>
              </w:rPr>
              <w:t xml:space="preserve">30–44</w:t>
            </w:r>
          </w:p>
        </w:tc>
        <w:tc>
          <w:tcPr>
            <w:vAlign w:val="center"/>
          </w:tcPr>
          <w:p w:rsidR="00000000" w:rsidDel="00000000" w:rsidP="00000000" w:rsidRDefault="00000000" w:rsidRPr="00000000" w14:paraId="000002FE">
            <w:pPr>
              <w:rPr/>
            </w:pPr>
            <w:r w:rsidDel="00000000" w:rsidR="00000000" w:rsidRPr="00000000">
              <w:rPr>
                <w:rtl w:val="0"/>
              </w:rPr>
              <w:t xml:space="preserve">6</w:t>
            </w:r>
          </w:p>
        </w:tc>
        <w:tc>
          <w:tcPr>
            <w:vAlign w:val="center"/>
          </w:tcPr>
          <w:p w:rsidR="00000000" w:rsidDel="00000000" w:rsidP="00000000" w:rsidRDefault="00000000" w:rsidRPr="00000000" w14:paraId="000002FF">
            <w:pPr>
              <w:rPr/>
            </w:pPr>
            <w:r w:rsidDel="00000000" w:rsidR="00000000" w:rsidRPr="00000000">
              <w:rPr>
                <w:rtl w:val="0"/>
              </w:rPr>
              <w:t xml:space="preserve">4</w:t>
            </w:r>
          </w:p>
        </w:tc>
        <w:tc>
          <w:tcPr>
            <w:vAlign w:val="center"/>
          </w:tcPr>
          <w:p w:rsidR="00000000" w:rsidDel="00000000" w:rsidP="00000000" w:rsidRDefault="00000000" w:rsidRPr="00000000" w14:paraId="00000300">
            <w:pPr>
              <w:rPr/>
            </w:pPr>
            <w:r w:rsidDel="00000000" w:rsidR="00000000" w:rsidRPr="00000000">
              <w:rPr>
                <w:rtl w:val="0"/>
              </w:rPr>
              <w:t xml:space="preserve">66.8</w:t>
            </w:r>
          </w:p>
        </w:tc>
        <w:tc>
          <w:tcPr>
            <w:vAlign w:val="center"/>
          </w:tcPr>
          <w:p w:rsidR="00000000" w:rsidDel="00000000" w:rsidP="00000000" w:rsidRDefault="00000000" w:rsidRPr="00000000" w14:paraId="00000301">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02">
            <w:pPr>
              <w:rPr/>
            </w:pPr>
            <w:r w:rsidDel="00000000" w:rsidR="00000000" w:rsidRPr="00000000">
              <w:rPr>
                <w:rtl w:val="0"/>
              </w:rPr>
              <w:t xml:space="preserve">Hjernerystelse</w:t>
            </w:r>
          </w:p>
        </w:tc>
        <w:tc>
          <w:tcPr>
            <w:vAlign w:val="center"/>
          </w:tcPr>
          <w:p w:rsidR="00000000" w:rsidDel="00000000" w:rsidP="00000000" w:rsidRDefault="00000000" w:rsidRPr="00000000" w14:paraId="00000303">
            <w:pPr>
              <w:rPr/>
            </w:pPr>
            <w:r w:rsidDel="00000000" w:rsidR="00000000" w:rsidRPr="00000000">
              <w:rPr>
                <w:rtl w:val="0"/>
              </w:rPr>
              <w:t xml:space="preserve">Kvinde</w:t>
            </w:r>
          </w:p>
        </w:tc>
        <w:tc>
          <w:tcPr>
            <w:vAlign w:val="center"/>
          </w:tcPr>
          <w:p w:rsidR="00000000" w:rsidDel="00000000" w:rsidP="00000000" w:rsidRDefault="00000000" w:rsidRPr="00000000" w14:paraId="00000304">
            <w:pPr>
              <w:rPr/>
            </w:pPr>
            <w:r w:rsidDel="00000000" w:rsidR="00000000" w:rsidRPr="00000000">
              <w:rPr>
                <w:rtl w:val="0"/>
              </w:rPr>
              <w:t xml:space="preserve">45–59</w:t>
            </w:r>
          </w:p>
        </w:tc>
        <w:tc>
          <w:tcPr>
            <w:vAlign w:val="center"/>
          </w:tcPr>
          <w:p w:rsidR="00000000" w:rsidDel="00000000" w:rsidP="00000000" w:rsidRDefault="00000000" w:rsidRPr="00000000" w14:paraId="00000305">
            <w:pPr>
              <w:rPr/>
            </w:pPr>
            <w:r w:rsidDel="00000000" w:rsidR="00000000" w:rsidRPr="00000000">
              <w:rPr>
                <w:rtl w:val="0"/>
              </w:rPr>
              <w:t xml:space="preserve">2</w:t>
            </w:r>
          </w:p>
        </w:tc>
        <w:tc>
          <w:tcPr>
            <w:vAlign w:val="center"/>
          </w:tcPr>
          <w:p w:rsidR="00000000" w:rsidDel="00000000" w:rsidP="00000000" w:rsidRDefault="00000000" w:rsidRPr="00000000" w14:paraId="00000306">
            <w:pPr>
              <w:rPr/>
            </w:pPr>
            <w:r w:rsidDel="00000000" w:rsidR="00000000" w:rsidRPr="00000000">
              <w:rPr>
                <w:rtl w:val="0"/>
              </w:rPr>
              <w:t xml:space="preserve">2</w:t>
            </w:r>
          </w:p>
        </w:tc>
        <w:tc>
          <w:tcPr>
            <w:vAlign w:val="center"/>
          </w:tcPr>
          <w:p w:rsidR="00000000" w:rsidDel="00000000" w:rsidP="00000000" w:rsidRDefault="00000000" w:rsidRPr="00000000" w14:paraId="00000307">
            <w:pPr>
              <w:rPr/>
            </w:pPr>
            <w:r w:rsidDel="00000000" w:rsidR="00000000" w:rsidRPr="00000000">
              <w:rPr>
                <w:rtl w:val="0"/>
              </w:rPr>
              <w:t xml:space="preserve">36.3</w:t>
            </w:r>
          </w:p>
        </w:tc>
        <w:tc>
          <w:tcPr>
            <w:vAlign w:val="center"/>
          </w:tcPr>
          <w:p w:rsidR="00000000" w:rsidDel="00000000" w:rsidP="00000000" w:rsidRDefault="00000000" w:rsidRPr="00000000" w14:paraId="00000308">
            <w:pPr>
              <w:rPr/>
            </w:pPr>
            <w:r w:rsidDel="00000000" w:rsidR="00000000" w:rsidRPr="00000000">
              <w:rPr>
                <w:rtl w:val="0"/>
              </w:rPr>
              <w:t xml:space="preserve">50</w:t>
            </w:r>
          </w:p>
        </w:tc>
      </w:tr>
      <w:tr>
        <w:trPr>
          <w:cantSplit w:val="0"/>
          <w:tblHeader w:val="0"/>
        </w:trPr>
        <w:tc>
          <w:tcPr>
            <w:vAlign w:val="center"/>
          </w:tcPr>
          <w:p w:rsidR="00000000" w:rsidDel="00000000" w:rsidP="00000000" w:rsidRDefault="00000000" w:rsidRPr="00000000" w14:paraId="00000309">
            <w:pPr>
              <w:rPr/>
            </w:pPr>
            <w:r w:rsidDel="00000000" w:rsidR="00000000" w:rsidRPr="00000000">
              <w:rPr>
                <w:rtl w:val="0"/>
              </w:rPr>
              <w:t xml:space="preserve">Hjernerystelse</w:t>
            </w:r>
          </w:p>
        </w:tc>
        <w:tc>
          <w:tcPr>
            <w:vAlign w:val="center"/>
          </w:tcPr>
          <w:p w:rsidR="00000000" w:rsidDel="00000000" w:rsidP="00000000" w:rsidRDefault="00000000" w:rsidRPr="00000000" w14:paraId="0000030A">
            <w:pPr>
              <w:rPr/>
            </w:pPr>
            <w:r w:rsidDel="00000000" w:rsidR="00000000" w:rsidRPr="00000000">
              <w:rPr>
                <w:rtl w:val="0"/>
              </w:rPr>
              <w:t xml:space="preserve">Kvinde</w:t>
            </w:r>
          </w:p>
        </w:tc>
        <w:tc>
          <w:tcPr>
            <w:vAlign w:val="center"/>
          </w:tcPr>
          <w:p w:rsidR="00000000" w:rsidDel="00000000" w:rsidP="00000000" w:rsidRDefault="00000000" w:rsidRPr="00000000" w14:paraId="0000030B">
            <w:pPr>
              <w:rPr/>
            </w:pPr>
            <w:r w:rsidDel="00000000" w:rsidR="00000000" w:rsidRPr="00000000">
              <w:rPr>
                <w:rtl w:val="0"/>
              </w:rPr>
              <w:t xml:space="preserve">&lt;30</w:t>
            </w:r>
          </w:p>
        </w:tc>
        <w:tc>
          <w:tcPr>
            <w:vAlign w:val="center"/>
          </w:tcPr>
          <w:p w:rsidR="00000000" w:rsidDel="00000000" w:rsidP="00000000" w:rsidRDefault="00000000" w:rsidRPr="00000000" w14:paraId="0000030C">
            <w:pPr>
              <w:rPr/>
            </w:pPr>
            <w:r w:rsidDel="00000000" w:rsidR="00000000" w:rsidRPr="00000000">
              <w:rPr>
                <w:rtl w:val="0"/>
              </w:rPr>
              <w:t xml:space="preserve">5</w:t>
            </w:r>
          </w:p>
        </w:tc>
        <w:tc>
          <w:tcPr>
            <w:vAlign w:val="center"/>
          </w:tcPr>
          <w:p w:rsidR="00000000" w:rsidDel="00000000" w:rsidP="00000000" w:rsidRDefault="00000000" w:rsidRPr="00000000" w14:paraId="0000030D">
            <w:pPr>
              <w:rPr/>
            </w:pPr>
            <w:r w:rsidDel="00000000" w:rsidR="00000000" w:rsidRPr="00000000">
              <w:rPr>
                <w:rtl w:val="0"/>
              </w:rPr>
              <w:t xml:space="preserve">4</w:t>
            </w:r>
          </w:p>
        </w:tc>
        <w:tc>
          <w:tcPr>
            <w:vAlign w:val="center"/>
          </w:tcPr>
          <w:p w:rsidR="00000000" w:rsidDel="00000000" w:rsidP="00000000" w:rsidRDefault="00000000" w:rsidRPr="00000000" w14:paraId="0000030E">
            <w:pPr>
              <w:rPr/>
            </w:pPr>
            <w:r w:rsidDel="00000000" w:rsidR="00000000" w:rsidRPr="00000000">
              <w:rPr>
                <w:rtl w:val="0"/>
              </w:rPr>
              <w:t xml:space="preserve">61.7</w:t>
            </w:r>
          </w:p>
        </w:tc>
        <w:tc>
          <w:tcPr>
            <w:vAlign w:val="center"/>
          </w:tcPr>
          <w:p w:rsidR="00000000" w:rsidDel="00000000" w:rsidP="00000000" w:rsidRDefault="00000000" w:rsidRPr="00000000" w14:paraId="0000030F">
            <w:pPr>
              <w:rPr/>
            </w:pPr>
            <w:r w:rsidDel="00000000" w:rsidR="00000000" w:rsidRPr="00000000">
              <w:rPr>
                <w:rtl w:val="0"/>
              </w:rPr>
              <w:t xml:space="preserve">75</w:t>
            </w:r>
          </w:p>
        </w:tc>
      </w:tr>
      <w:tr>
        <w:trPr>
          <w:cantSplit w:val="0"/>
          <w:tblHeader w:val="0"/>
        </w:trPr>
        <w:tc>
          <w:tcPr>
            <w:vAlign w:val="center"/>
          </w:tcPr>
          <w:p w:rsidR="00000000" w:rsidDel="00000000" w:rsidP="00000000" w:rsidRDefault="00000000" w:rsidRPr="00000000" w14:paraId="00000310">
            <w:pPr>
              <w:rPr/>
            </w:pPr>
            <w:r w:rsidDel="00000000" w:rsidR="00000000" w:rsidRPr="00000000">
              <w:rPr>
                <w:rtl w:val="0"/>
              </w:rPr>
              <w:t xml:space="preserve">Hjernerystelse</w:t>
            </w:r>
          </w:p>
        </w:tc>
        <w:tc>
          <w:tcPr>
            <w:vAlign w:val="center"/>
          </w:tcPr>
          <w:p w:rsidR="00000000" w:rsidDel="00000000" w:rsidP="00000000" w:rsidRDefault="00000000" w:rsidRPr="00000000" w14:paraId="00000311">
            <w:pPr>
              <w:rPr/>
            </w:pPr>
            <w:r w:rsidDel="00000000" w:rsidR="00000000" w:rsidRPr="00000000">
              <w:rPr>
                <w:rtl w:val="0"/>
              </w:rPr>
              <w:t xml:space="preserve">Mand</w:t>
            </w:r>
          </w:p>
        </w:tc>
        <w:tc>
          <w:tcPr>
            <w:vAlign w:val="center"/>
          </w:tcPr>
          <w:p w:rsidR="00000000" w:rsidDel="00000000" w:rsidP="00000000" w:rsidRDefault="00000000" w:rsidRPr="00000000" w14:paraId="00000312">
            <w:pPr>
              <w:rPr/>
            </w:pPr>
            <w:r w:rsidDel="00000000" w:rsidR="00000000" w:rsidRPr="00000000">
              <w:rPr>
                <w:rtl w:val="0"/>
              </w:rPr>
              <w:t xml:space="preserve">30–44</w:t>
            </w:r>
          </w:p>
        </w:tc>
        <w:tc>
          <w:tcPr>
            <w:vAlign w:val="center"/>
          </w:tcPr>
          <w:p w:rsidR="00000000" w:rsidDel="00000000" w:rsidP="00000000" w:rsidRDefault="00000000" w:rsidRPr="00000000" w14:paraId="00000313">
            <w:pPr>
              <w:rPr/>
            </w:pPr>
            <w:r w:rsidDel="00000000" w:rsidR="00000000" w:rsidRPr="00000000">
              <w:rPr>
                <w:rtl w:val="0"/>
              </w:rPr>
              <w:t xml:space="preserve">1</w:t>
            </w:r>
          </w:p>
        </w:tc>
        <w:tc>
          <w:tcPr>
            <w:vAlign w:val="center"/>
          </w:tcPr>
          <w:p w:rsidR="00000000" w:rsidDel="00000000" w:rsidP="00000000" w:rsidRDefault="00000000" w:rsidRPr="00000000" w14:paraId="00000314">
            <w:pPr>
              <w:rPr/>
            </w:pPr>
            <w:r w:rsidDel="00000000" w:rsidR="00000000" w:rsidRPr="00000000">
              <w:rPr>
                <w:rtl w:val="0"/>
              </w:rPr>
              <w:t xml:space="preserve">1</w:t>
            </w:r>
          </w:p>
        </w:tc>
        <w:tc>
          <w:tcPr>
            <w:vAlign w:val="center"/>
          </w:tcPr>
          <w:p w:rsidR="00000000" w:rsidDel="00000000" w:rsidP="00000000" w:rsidRDefault="00000000" w:rsidRPr="00000000" w14:paraId="00000315">
            <w:pPr>
              <w:rPr/>
            </w:pPr>
            <w:r w:rsidDel="00000000" w:rsidR="00000000" w:rsidRPr="00000000">
              <w:rPr>
                <w:rtl w:val="0"/>
              </w:rPr>
              <w:t xml:space="preserve">53.5</w:t>
            </w:r>
          </w:p>
        </w:tc>
        <w:tc>
          <w:tcPr>
            <w:vAlign w:val="center"/>
          </w:tcPr>
          <w:p w:rsidR="00000000" w:rsidDel="00000000" w:rsidP="00000000" w:rsidRDefault="00000000" w:rsidRPr="00000000" w14:paraId="00000316">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17">
            <w:pPr>
              <w:rPr/>
            </w:pPr>
            <w:r w:rsidDel="00000000" w:rsidR="00000000" w:rsidRPr="00000000">
              <w:rPr>
                <w:rtl w:val="0"/>
              </w:rPr>
              <w:t xml:space="preserve">Hjernerystelse</w:t>
            </w:r>
          </w:p>
        </w:tc>
        <w:tc>
          <w:tcPr>
            <w:vAlign w:val="center"/>
          </w:tcPr>
          <w:p w:rsidR="00000000" w:rsidDel="00000000" w:rsidP="00000000" w:rsidRDefault="00000000" w:rsidRPr="00000000" w14:paraId="00000318">
            <w:pPr>
              <w:rPr/>
            </w:pPr>
            <w:r w:rsidDel="00000000" w:rsidR="00000000" w:rsidRPr="00000000">
              <w:rPr>
                <w:rtl w:val="0"/>
              </w:rPr>
              <w:t xml:space="preserve">Mand</w:t>
            </w:r>
          </w:p>
        </w:tc>
        <w:tc>
          <w:tcPr>
            <w:vAlign w:val="center"/>
          </w:tcPr>
          <w:p w:rsidR="00000000" w:rsidDel="00000000" w:rsidP="00000000" w:rsidRDefault="00000000" w:rsidRPr="00000000" w14:paraId="00000319">
            <w:pPr>
              <w:rPr/>
            </w:pPr>
            <w:r w:rsidDel="00000000" w:rsidR="00000000" w:rsidRPr="00000000">
              <w:rPr>
                <w:rtl w:val="0"/>
              </w:rPr>
              <w:t xml:space="preserve">45–59</w:t>
            </w:r>
          </w:p>
        </w:tc>
        <w:tc>
          <w:tcPr>
            <w:vAlign w:val="center"/>
          </w:tcPr>
          <w:p w:rsidR="00000000" w:rsidDel="00000000" w:rsidP="00000000" w:rsidRDefault="00000000" w:rsidRPr="00000000" w14:paraId="0000031A">
            <w:pPr>
              <w:rPr/>
            </w:pPr>
            <w:r w:rsidDel="00000000" w:rsidR="00000000" w:rsidRPr="00000000">
              <w:rPr>
                <w:rtl w:val="0"/>
              </w:rPr>
              <w:t xml:space="preserve">4</w:t>
            </w:r>
          </w:p>
        </w:tc>
        <w:tc>
          <w:tcPr>
            <w:vAlign w:val="center"/>
          </w:tcPr>
          <w:p w:rsidR="00000000" w:rsidDel="00000000" w:rsidP="00000000" w:rsidRDefault="00000000" w:rsidRPr="00000000" w14:paraId="0000031B">
            <w:pPr>
              <w:rPr/>
            </w:pPr>
            <w:r w:rsidDel="00000000" w:rsidR="00000000" w:rsidRPr="00000000">
              <w:rPr>
                <w:rtl w:val="0"/>
              </w:rPr>
              <w:t xml:space="preserve">3</w:t>
            </w:r>
          </w:p>
        </w:tc>
        <w:tc>
          <w:tcPr>
            <w:vAlign w:val="center"/>
          </w:tcPr>
          <w:p w:rsidR="00000000" w:rsidDel="00000000" w:rsidP="00000000" w:rsidRDefault="00000000" w:rsidRPr="00000000" w14:paraId="0000031C">
            <w:pPr>
              <w:rPr/>
            </w:pPr>
            <w:r w:rsidDel="00000000" w:rsidR="00000000" w:rsidRPr="00000000">
              <w:rPr>
                <w:rtl w:val="0"/>
              </w:rPr>
              <w:t xml:space="preserve">72.6</w:t>
            </w:r>
          </w:p>
        </w:tc>
        <w:tc>
          <w:tcPr>
            <w:vAlign w:val="center"/>
          </w:tcPr>
          <w:p w:rsidR="00000000" w:rsidDel="00000000" w:rsidP="00000000" w:rsidRDefault="00000000" w:rsidRPr="00000000" w14:paraId="0000031D">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1E">
            <w:pPr>
              <w:rPr/>
            </w:pPr>
            <w:r w:rsidDel="00000000" w:rsidR="00000000" w:rsidRPr="00000000">
              <w:rPr>
                <w:rtl w:val="0"/>
              </w:rPr>
              <w:t xml:space="preserve">Hjernerystelse</w:t>
            </w:r>
          </w:p>
        </w:tc>
        <w:tc>
          <w:tcPr>
            <w:vAlign w:val="center"/>
          </w:tcPr>
          <w:p w:rsidR="00000000" w:rsidDel="00000000" w:rsidP="00000000" w:rsidRDefault="00000000" w:rsidRPr="00000000" w14:paraId="0000031F">
            <w:pPr>
              <w:rPr/>
            </w:pPr>
            <w:r w:rsidDel="00000000" w:rsidR="00000000" w:rsidRPr="00000000">
              <w:rPr>
                <w:rtl w:val="0"/>
              </w:rPr>
              <w:t xml:space="preserve">Mand</w:t>
            </w:r>
          </w:p>
        </w:tc>
        <w:tc>
          <w:tcPr>
            <w:vAlign w:val="center"/>
          </w:tcPr>
          <w:p w:rsidR="00000000" w:rsidDel="00000000" w:rsidP="00000000" w:rsidRDefault="00000000" w:rsidRPr="00000000" w14:paraId="00000320">
            <w:pPr>
              <w:rPr/>
            </w:pPr>
            <w:r w:rsidDel="00000000" w:rsidR="00000000" w:rsidRPr="00000000">
              <w:rPr>
                <w:rtl w:val="0"/>
              </w:rPr>
              <w:t xml:space="preserve">60+</w:t>
            </w:r>
          </w:p>
        </w:tc>
        <w:tc>
          <w:tcPr>
            <w:vAlign w:val="center"/>
          </w:tcPr>
          <w:p w:rsidR="00000000" w:rsidDel="00000000" w:rsidP="00000000" w:rsidRDefault="00000000" w:rsidRPr="00000000" w14:paraId="00000321">
            <w:pPr>
              <w:rPr/>
            </w:pPr>
            <w:r w:rsidDel="00000000" w:rsidR="00000000" w:rsidRPr="00000000">
              <w:rPr>
                <w:rtl w:val="0"/>
              </w:rPr>
              <w:t xml:space="preserve">2</w:t>
            </w:r>
          </w:p>
        </w:tc>
        <w:tc>
          <w:tcPr>
            <w:vAlign w:val="center"/>
          </w:tcPr>
          <w:p w:rsidR="00000000" w:rsidDel="00000000" w:rsidP="00000000" w:rsidRDefault="00000000" w:rsidRPr="00000000" w14:paraId="00000322">
            <w:pPr>
              <w:rPr/>
            </w:pPr>
            <w:r w:rsidDel="00000000" w:rsidR="00000000" w:rsidRPr="00000000">
              <w:rPr>
                <w:rtl w:val="0"/>
              </w:rPr>
              <w:t xml:space="preserve">1</w:t>
            </w:r>
          </w:p>
        </w:tc>
        <w:tc>
          <w:tcPr>
            <w:vAlign w:val="center"/>
          </w:tcPr>
          <w:p w:rsidR="00000000" w:rsidDel="00000000" w:rsidP="00000000" w:rsidRDefault="00000000" w:rsidRPr="00000000" w14:paraId="00000323">
            <w:pPr>
              <w:rPr/>
            </w:pPr>
            <w:r w:rsidDel="00000000" w:rsidR="00000000" w:rsidRPr="00000000">
              <w:rPr>
                <w:rtl w:val="0"/>
              </w:rPr>
              <w:t xml:space="preserve">25.8</w:t>
            </w:r>
          </w:p>
        </w:tc>
        <w:tc>
          <w:tcPr>
            <w:vAlign w:val="center"/>
          </w:tcPr>
          <w:p w:rsidR="00000000" w:rsidDel="00000000" w:rsidP="00000000" w:rsidRDefault="00000000" w:rsidRPr="00000000" w14:paraId="00000324">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25">
            <w:pPr>
              <w:rPr/>
            </w:pPr>
            <w:r w:rsidDel="00000000" w:rsidR="00000000" w:rsidRPr="00000000">
              <w:rPr>
                <w:rtl w:val="0"/>
              </w:rPr>
              <w:t xml:space="preserve">Hjernerystelse</w:t>
            </w:r>
          </w:p>
        </w:tc>
        <w:tc>
          <w:tcPr>
            <w:vAlign w:val="center"/>
          </w:tcPr>
          <w:p w:rsidR="00000000" w:rsidDel="00000000" w:rsidP="00000000" w:rsidRDefault="00000000" w:rsidRPr="00000000" w14:paraId="00000326">
            <w:pPr>
              <w:rPr/>
            </w:pPr>
            <w:r w:rsidDel="00000000" w:rsidR="00000000" w:rsidRPr="00000000">
              <w:rPr>
                <w:rtl w:val="0"/>
              </w:rPr>
              <w:t xml:space="preserve">Mand</w:t>
            </w:r>
          </w:p>
        </w:tc>
        <w:tc>
          <w:tcPr>
            <w:vAlign w:val="center"/>
          </w:tcPr>
          <w:p w:rsidR="00000000" w:rsidDel="00000000" w:rsidP="00000000" w:rsidRDefault="00000000" w:rsidRPr="00000000" w14:paraId="00000327">
            <w:pPr>
              <w:rPr/>
            </w:pPr>
            <w:r w:rsidDel="00000000" w:rsidR="00000000" w:rsidRPr="00000000">
              <w:rPr>
                <w:rtl w:val="0"/>
              </w:rPr>
              <w:t xml:space="preserve">&lt;30</w:t>
            </w:r>
          </w:p>
        </w:tc>
        <w:tc>
          <w:tcPr>
            <w:vAlign w:val="center"/>
          </w:tcPr>
          <w:p w:rsidR="00000000" w:rsidDel="00000000" w:rsidP="00000000" w:rsidRDefault="00000000" w:rsidRPr="00000000" w14:paraId="00000328">
            <w:pPr>
              <w:rPr/>
            </w:pPr>
            <w:r w:rsidDel="00000000" w:rsidR="00000000" w:rsidRPr="00000000">
              <w:rPr>
                <w:rtl w:val="0"/>
              </w:rPr>
              <w:t xml:space="preserve">1</w:t>
            </w:r>
          </w:p>
        </w:tc>
        <w:tc>
          <w:tcPr>
            <w:vAlign w:val="center"/>
          </w:tcPr>
          <w:p w:rsidR="00000000" w:rsidDel="00000000" w:rsidP="00000000" w:rsidRDefault="00000000" w:rsidRPr="00000000" w14:paraId="00000329">
            <w:pPr>
              <w:rPr/>
            </w:pPr>
            <w:r w:rsidDel="00000000" w:rsidR="00000000" w:rsidRPr="00000000">
              <w:rPr>
                <w:rtl w:val="0"/>
              </w:rPr>
              <w:t xml:space="preserve">1</w:t>
            </w:r>
          </w:p>
        </w:tc>
        <w:tc>
          <w:tcPr>
            <w:vAlign w:val="center"/>
          </w:tcPr>
          <w:p w:rsidR="00000000" w:rsidDel="00000000" w:rsidP="00000000" w:rsidRDefault="00000000" w:rsidRPr="00000000" w14:paraId="0000032A">
            <w:pPr>
              <w:rPr/>
            </w:pPr>
            <w:r w:rsidDel="00000000" w:rsidR="00000000" w:rsidRPr="00000000">
              <w:rPr>
                <w:rtl w:val="0"/>
              </w:rPr>
              <w:t xml:space="preserve">33.3</w:t>
            </w:r>
          </w:p>
        </w:tc>
        <w:tc>
          <w:tcPr>
            <w:vAlign w:val="center"/>
          </w:tcPr>
          <w:p w:rsidR="00000000" w:rsidDel="00000000" w:rsidP="00000000" w:rsidRDefault="00000000" w:rsidRPr="00000000" w14:paraId="0000032B">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2C">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32D">
            <w:pPr>
              <w:rPr/>
            </w:pPr>
            <w:r w:rsidDel="00000000" w:rsidR="00000000" w:rsidRPr="00000000">
              <w:rPr>
                <w:rtl w:val="0"/>
              </w:rPr>
              <w:t xml:space="preserve">Kvinde</w:t>
            </w:r>
          </w:p>
        </w:tc>
        <w:tc>
          <w:tcPr>
            <w:vAlign w:val="center"/>
          </w:tcPr>
          <w:p w:rsidR="00000000" w:rsidDel="00000000" w:rsidP="00000000" w:rsidRDefault="00000000" w:rsidRPr="00000000" w14:paraId="0000032E">
            <w:pPr>
              <w:rPr/>
            </w:pPr>
            <w:r w:rsidDel="00000000" w:rsidR="00000000" w:rsidRPr="00000000">
              <w:rPr>
                <w:rtl w:val="0"/>
              </w:rPr>
              <w:t xml:space="preserve">30–44</w:t>
            </w:r>
          </w:p>
        </w:tc>
        <w:tc>
          <w:tcPr>
            <w:vAlign w:val="center"/>
          </w:tcPr>
          <w:p w:rsidR="00000000" w:rsidDel="00000000" w:rsidP="00000000" w:rsidRDefault="00000000" w:rsidRPr="00000000" w14:paraId="0000032F">
            <w:pPr>
              <w:rPr/>
            </w:pPr>
            <w:r w:rsidDel="00000000" w:rsidR="00000000" w:rsidRPr="00000000">
              <w:rPr>
                <w:rtl w:val="0"/>
              </w:rPr>
              <w:t xml:space="preserve">2</w:t>
            </w:r>
          </w:p>
        </w:tc>
        <w:tc>
          <w:tcPr>
            <w:vAlign w:val="center"/>
          </w:tcPr>
          <w:p w:rsidR="00000000" w:rsidDel="00000000" w:rsidP="00000000" w:rsidRDefault="00000000" w:rsidRPr="00000000" w14:paraId="00000330">
            <w:pPr>
              <w:rPr/>
            </w:pPr>
            <w:r w:rsidDel="00000000" w:rsidR="00000000" w:rsidRPr="00000000">
              <w:rPr>
                <w:rtl w:val="0"/>
              </w:rPr>
              <w:t xml:space="preserve">2</w:t>
            </w:r>
          </w:p>
        </w:tc>
        <w:tc>
          <w:tcPr>
            <w:vAlign w:val="center"/>
          </w:tcPr>
          <w:p w:rsidR="00000000" w:rsidDel="00000000" w:rsidP="00000000" w:rsidRDefault="00000000" w:rsidRPr="00000000" w14:paraId="00000331">
            <w:pPr>
              <w:rPr/>
            </w:pPr>
            <w:r w:rsidDel="00000000" w:rsidR="00000000" w:rsidRPr="00000000">
              <w:rPr>
                <w:rtl w:val="0"/>
              </w:rPr>
              <w:t xml:space="preserve">-3121.3</w:t>
            </w:r>
          </w:p>
        </w:tc>
        <w:tc>
          <w:tcPr>
            <w:vAlign w:val="center"/>
          </w:tcPr>
          <w:p w:rsidR="00000000" w:rsidDel="00000000" w:rsidP="00000000" w:rsidRDefault="00000000" w:rsidRPr="00000000" w14:paraId="00000332">
            <w:pPr>
              <w:rPr/>
            </w:pPr>
            <w:r w:rsidDel="00000000" w:rsidR="00000000" w:rsidRPr="00000000">
              <w:rPr>
                <w:rtl w:val="0"/>
              </w:rPr>
              <w:t xml:space="preserve">0</w:t>
            </w:r>
          </w:p>
        </w:tc>
      </w:tr>
      <w:tr>
        <w:trPr>
          <w:cantSplit w:val="0"/>
          <w:tblHeader w:val="0"/>
        </w:trPr>
        <w:tc>
          <w:tcPr>
            <w:vAlign w:val="center"/>
          </w:tcPr>
          <w:p w:rsidR="00000000" w:rsidDel="00000000" w:rsidP="00000000" w:rsidRDefault="00000000" w:rsidRPr="00000000" w14:paraId="00000333">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334">
            <w:pPr>
              <w:rPr/>
            </w:pPr>
            <w:r w:rsidDel="00000000" w:rsidR="00000000" w:rsidRPr="00000000">
              <w:rPr>
                <w:rtl w:val="0"/>
              </w:rPr>
              <w:t xml:space="preserve">Kvinde</w:t>
            </w:r>
          </w:p>
        </w:tc>
        <w:tc>
          <w:tcPr>
            <w:vAlign w:val="center"/>
          </w:tcPr>
          <w:p w:rsidR="00000000" w:rsidDel="00000000" w:rsidP="00000000" w:rsidRDefault="00000000" w:rsidRPr="00000000" w14:paraId="00000335">
            <w:pPr>
              <w:rPr/>
            </w:pPr>
            <w:r w:rsidDel="00000000" w:rsidR="00000000" w:rsidRPr="00000000">
              <w:rPr>
                <w:rtl w:val="0"/>
              </w:rPr>
              <w:t xml:space="preserve">45–59</w:t>
            </w:r>
          </w:p>
        </w:tc>
        <w:tc>
          <w:tcPr>
            <w:vAlign w:val="center"/>
          </w:tcPr>
          <w:p w:rsidR="00000000" w:rsidDel="00000000" w:rsidP="00000000" w:rsidRDefault="00000000" w:rsidRPr="00000000" w14:paraId="00000336">
            <w:pPr>
              <w:rPr/>
            </w:pPr>
            <w:r w:rsidDel="00000000" w:rsidR="00000000" w:rsidRPr="00000000">
              <w:rPr>
                <w:rtl w:val="0"/>
              </w:rPr>
              <w:t xml:space="preserve">3</w:t>
            </w:r>
          </w:p>
        </w:tc>
        <w:tc>
          <w:tcPr>
            <w:vAlign w:val="center"/>
          </w:tcPr>
          <w:p w:rsidR="00000000" w:rsidDel="00000000" w:rsidP="00000000" w:rsidRDefault="00000000" w:rsidRPr="00000000" w14:paraId="00000337">
            <w:pPr>
              <w:rPr/>
            </w:pPr>
            <w:r w:rsidDel="00000000" w:rsidR="00000000" w:rsidRPr="00000000">
              <w:rPr>
                <w:rtl w:val="0"/>
              </w:rPr>
              <w:t xml:space="preserve">3</w:t>
            </w:r>
          </w:p>
        </w:tc>
        <w:tc>
          <w:tcPr>
            <w:vAlign w:val="center"/>
          </w:tcPr>
          <w:p w:rsidR="00000000" w:rsidDel="00000000" w:rsidP="00000000" w:rsidRDefault="00000000" w:rsidRPr="00000000" w14:paraId="00000338">
            <w:pPr>
              <w:rPr/>
            </w:pPr>
            <w:r w:rsidDel="00000000" w:rsidR="00000000" w:rsidRPr="00000000">
              <w:rPr>
                <w:rtl w:val="0"/>
              </w:rPr>
              <w:t xml:space="preserve">39.0</w:t>
            </w:r>
          </w:p>
        </w:tc>
        <w:tc>
          <w:tcPr>
            <w:vAlign w:val="center"/>
          </w:tcPr>
          <w:p w:rsidR="00000000" w:rsidDel="00000000" w:rsidP="00000000" w:rsidRDefault="00000000" w:rsidRPr="00000000" w14:paraId="00000339">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3A">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33B">
            <w:pPr>
              <w:rPr/>
            </w:pPr>
            <w:r w:rsidDel="00000000" w:rsidR="00000000" w:rsidRPr="00000000">
              <w:rPr>
                <w:rtl w:val="0"/>
              </w:rPr>
              <w:t xml:space="preserve">Kvinde</w:t>
            </w:r>
          </w:p>
        </w:tc>
        <w:tc>
          <w:tcPr>
            <w:vAlign w:val="center"/>
          </w:tcPr>
          <w:p w:rsidR="00000000" w:rsidDel="00000000" w:rsidP="00000000" w:rsidRDefault="00000000" w:rsidRPr="00000000" w14:paraId="0000033C">
            <w:pPr>
              <w:rPr/>
            </w:pPr>
            <w:r w:rsidDel="00000000" w:rsidR="00000000" w:rsidRPr="00000000">
              <w:rPr>
                <w:rtl w:val="0"/>
              </w:rPr>
              <w:t xml:space="preserve">60+</w:t>
            </w:r>
          </w:p>
        </w:tc>
        <w:tc>
          <w:tcPr>
            <w:vAlign w:val="center"/>
          </w:tcPr>
          <w:p w:rsidR="00000000" w:rsidDel="00000000" w:rsidP="00000000" w:rsidRDefault="00000000" w:rsidRPr="00000000" w14:paraId="0000033D">
            <w:pPr>
              <w:rPr/>
            </w:pPr>
            <w:r w:rsidDel="00000000" w:rsidR="00000000" w:rsidRPr="00000000">
              <w:rPr>
                <w:rtl w:val="0"/>
              </w:rPr>
              <w:t xml:space="preserve">7</w:t>
            </w:r>
          </w:p>
        </w:tc>
        <w:tc>
          <w:tcPr>
            <w:vAlign w:val="center"/>
          </w:tcPr>
          <w:p w:rsidR="00000000" w:rsidDel="00000000" w:rsidP="00000000" w:rsidRDefault="00000000" w:rsidRPr="00000000" w14:paraId="0000033E">
            <w:pPr>
              <w:rPr/>
            </w:pPr>
            <w:r w:rsidDel="00000000" w:rsidR="00000000" w:rsidRPr="00000000">
              <w:rPr>
                <w:rtl w:val="0"/>
              </w:rPr>
              <w:t xml:space="preserve">6</w:t>
            </w:r>
          </w:p>
        </w:tc>
        <w:tc>
          <w:tcPr>
            <w:vAlign w:val="center"/>
          </w:tcPr>
          <w:p w:rsidR="00000000" w:rsidDel="00000000" w:rsidP="00000000" w:rsidRDefault="00000000" w:rsidRPr="00000000" w14:paraId="0000033F">
            <w:pPr>
              <w:rPr/>
            </w:pPr>
            <w:r w:rsidDel="00000000" w:rsidR="00000000" w:rsidRPr="00000000">
              <w:rPr>
                <w:rtl w:val="0"/>
              </w:rPr>
              <w:t xml:space="preserve">41.5</w:t>
            </w:r>
          </w:p>
        </w:tc>
        <w:tc>
          <w:tcPr>
            <w:vAlign w:val="center"/>
          </w:tcPr>
          <w:p w:rsidR="00000000" w:rsidDel="00000000" w:rsidP="00000000" w:rsidRDefault="00000000" w:rsidRPr="00000000" w14:paraId="00000340">
            <w:pPr>
              <w:rPr/>
            </w:pPr>
            <w:r w:rsidDel="00000000" w:rsidR="00000000" w:rsidRPr="00000000">
              <w:rPr>
                <w:rtl w:val="0"/>
              </w:rPr>
              <w:t xml:space="preserve">83</w:t>
            </w:r>
          </w:p>
        </w:tc>
      </w:tr>
      <w:tr>
        <w:trPr>
          <w:cantSplit w:val="0"/>
          <w:tblHeader w:val="0"/>
        </w:trPr>
        <w:tc>
          <w:tcPr>
            <w:vAlign w:val="center"/>
          </w:tcPr>
          <w:p w:rsidR="00000000" w:rsidDel="00000000" w:rsidP="00000000" w:rsidRDefault="00000000" w:rsidRPr="00000000" w14:paraId="00000341">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342">
            <w:pPr>
              <w:rPr/>
            </w:pPr>
            <w:r w:rsidDel="00000000" w:rsidR="00000000" w:rsidRPr="00000000">
              <w:rPr>
                <w:rtl w:val="0"/>
              </w:rPr>
              <w:t xml:space="preserve">Mand</w:t>
            </w:r>
          </w:p>
        </w:tc>
        <w:tc>
          <w:tcPr>
            <w:vAlign w:val="center"/>
          </w:tcPr>
          <w:p w:rsidR="00000000" w:rsidDel="00000000" w:rsidP="00000000" w:rsidRDefault="00000000" w:rsidRPr="00000000" w14:paraId="00000343">
            <w:pPr>
              <w:rPr/>
            </w:pPr>
            <w:r w:rsidDel="00000000" w:rsidR="00000000" w:rsidRPr="00000000">
              <w:rPr>
                <w:rtl w:val="0"/>
              </w:rPr>
              <w:t xml:space="preserve">30–44</w:t>
            </w:r>
          </w:p>
        </w:tc>
        <w:tc>
          <w:tcPr>
            <w:vAlign w:val="center"/>
          </w:tcPr>
          <w:p w:rsidR="00000000" w:rsidDel="00000000" w:rsidP="00000000" w:rsidRDefault="00000000" w:rsidRPr="00000000" w14:paraId="00000344">
            <w:pPr>
              <w:rPr/>
            </w:pPr>
            <w:r w:rsidDel="00000000" w:rsidR="00000000" w:rsidRPr="00000000">
              <w:rPr>
                <w:rtl w:val="0"/>
              </w:rPr>
              <w:t xml:space="preserve">3</w:t>
            </w:r>
          </w:p>
        </w:tc>
        <w:tc>
          <w:tcPr>
            <w:vAlign w:val="center"/>
          </w:tcPr>
          <w:p w:rsidR="00000000" w:rsidDel="00000000" w:rsidP="00000000" w:rsidRDefault="00000000" w:rsidRPr="00000000" w14:paraId="00000345">
            <w:pPr>
              <w:rPr/>
            </w:pPr>
            <w:r w:rsidDel="00000000" w:rsidR="00000000" w:rsidRPr="00000000">
              <w:rPr>
                <w:rtl w:val="0"/>
              </w:rPr>
              <w:t xml:space="preserve">3</w:t>
            </w:r>
          </w:p>
        </w:tc>
        <w:tc>
          <w:tcPr>
            <w:vAlign w:val="center"/>
          </w:tcPr>
          <w:p w:rsidR="00000000" w:rsidDel="00000000" w:rsidP="00000000" w:rsidRDefault="00000000" w:rsidRPr="00000000" w14:paraId="00000346">
            <w:pPr>
              <w:rPr/>
            </w:pPr>
            <w:r w:rsidDel="00000000" w:rsidR="00000000" w:rsidRPr="00000000">
              <w:rPr>
                <w:rtl w:val="0"/>
              </w:rPr>
              <w:t xml:space="preserve">58.0</w:t>
            </w:r>
          </w:p>
        </w:tc>
        <w:tc>
          <w:tcPr>
            <w:vAlign w:val="center"/>
          </w:tcPr>
          <w:p w:rsidR="00000000" w:rsidDel="00000000" w:rsidP="00000000" w:rsidRDefault="00000000" w:rsidRPr="00000000" w14:paraId="00000347">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48">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349">
            <w:pPr>
              <w:rPr/>
            </w:pPr>
            <w:r w:rsidDel="00000000" w:rsidR="00000000" w:rsidRPr="00000000">
              <w:rPr>
                <w:rtl w:val="0"/>
              </w:rPr>
              <w:t xml:space="preserve">Mand</w:t>
            </w:r>
          </w:p>
        </w:tc>
        <w:tc>
          <w:tcPr>
            <w:vAlign w:val="center"/>
          </w:tcPr>
          <w:p w:rsidR="00000000" w:rsidDel="00000000" w:rsidP="00000000" w:rsidRDefault="00000000" w:rsidRPr="00000000" w14:paraId="0000034A">
            <w:pPr>
              <w:rPr/>
            </w:pPr>
            <w:r w:rsidDel="00000000" w:rsidR="00000000" w:rsidRPr="00000000">
              <w:rPr>
                <w:rtl w:val="0"/>
              </w:rPr>
              <w:t xml:space="preserve">45–59</w:t>
            </w:r>
          </w:p>
        </w:tc>
        <w:tc>
          <w:tcPr>
            <w:vAlign w:val="center"/>
          </w:tcPr>
          <w:p w:rsidR="00000000" w:rsidDel="00000000" w:rsidP="00000000" w:rsidRDefault="00000000" w:rsidRPr="00000000" w14:paraId="0000034B">
            <w:pPr>
              <w:rPr/>
            </w:pPr>
            <w:r w:rsidDel="00000000" w:rsidR="00000000" w:rsidRPr="00000000">
              <w:rPr>
                <w:rtl w:val="0"/>
              </w:rPr>
              <w:t xml:space="preserve">5</w:t>
            </w:r>
          </w:p>
        </w:tc>
        <w:tc>
          <w:tcPr>
            <w:vAlign w:val="center"/>
          </w:tcPr>
          <w:p w:rsidR="00000000" w:rsidDel="00000000" w:rsidP="00000000" w:rsidRDefault="00000000" w:rsidRPr="00000000" w14:paraId="0000034C">
            <w:pPr>
              <w:rPr/>
            </w:pPr>
            <w:r w:rsidDel="00000000" w:rsidR="00000000" w:rsidRPr="00000000">
              <w:rPr>
                <w:rtl w:val="0"/>
              </w:rPr>
              <w:t xml:space="preserve">5</w:t>
            </w:r>
          </w:p>
        </w:tc>
        <w:tc>
          <w:tcPr>
            <w:vAlign w:val="center"/>
          </w:tcPr>
          <w:p w:rsidR="00000000" w:rsidDel="00000000" w:rsidP="00000000" w:rsidRDefault="00000000" w:rsidRPr="00000000" w14:paraId="0000034D">
            <w:pPr>
              <w:rPr/>
            </w:pPr>
            <w:r w:rsidDel="00000000" w:rsidR="00000000" w:rsidRPr="00000000">
              <w:rPr>
                <w:rtl w:val="0"/>
              </w:rPr>
              <w:t xml:space="preserve">36.1</w:t>
            </w:r>
          </w:p>
        </w:tc>
        <w:tc>
          <w:tcPr>
            <w:vAlign w:val="center"/>
          </w:tcPr>
          <w:p w:rsidR="00000000" w:rsidDel="00000000" w:rsidP="00000000" w:rsidRDefault="00000000" w:rsidRPr="00000000" w14:paraId="0000034E">
            <w:pPr>
              <w:rPr/>
            </w:pPr>
            <w:r w:rsidDel="00000000" w:rsidR="00000000" w:rsidRPr="00000000">
              <w:rPr>
                <w:rtl w:val="0"/>
              </w:rPr>
              <w:t xml:space="preserve">100</w:t>
            </w:r>
          </w:p>
        </w:tc>
      </w:tr>
      <w:tr>
        <w:trPr>
          <w:cantSplit w:val="0"/>
          <w:tblHeader w:val="0"/>
        </w:trPr>
        <w:tc>
          <w:tcPr>
            <w:vAlign w:val="center"/>
          </w:tcPr>
          <w:p w:rsidR="00000000" w:rsidDel="00000000" w:rsidP="00000000" w:rsidRDefault="00000000" w:rsidRPr="00000000" w14:paraId="0000034F">
            <w:pPr>
              <w:rPr/>
            </w:pPr>
            <w:r w:rsidDel="00000000" w:rsidR="00000000" w:rsidRPr="00000000">
              <w:rPr>
                <w:rtl w:val="0"/>
              </w:rPr>
              <w:t xml:space="preserve">Hjerneskade (stroke/TBI)</w:t>
            </w:r>
          </w:p>
        </w:tc>
        <w:tc>
          <w:tcPr>
            <w:vAlign w:val="center"/>
          </w:tcPr>
          <w:p w:rsidR="00000000" w:rsidDel="00000000" w:rsidP="00000000" w:rsidRDefault="00000000" w:rsidRPr="00000000" w14:paraId="00000350">
            <w:pPr>
              <w:rPr/>
            </w:pPr>
            <w:r w:rsidDel="00000000" w:rsidR="00000000" w:rsidRPr="00000000">
              <w:rPr>
                <w:rtl w:val="0"/>
              </w:rPr>
              <w:t xml:space="preserve">Mand</w:t>
            </w:r>
          </w:p>
        </w:tc>
        <w:tc>
          <w:tcPr>
            <w:vAlign w:val="center"/>
          </w:tcPr>
          <w:p w:rsidR="00000000" w:rsidDel="00000000" w:rsidP="00000000" w:rsidRDefault="00000000" w:rsidRPr="00000000" w14:paraId="00000351">
            <w:pPr>
              <w:rPr/>
            </w:pPr>
            <w:r w:rsidDel="00000000" w:rsidR="00000000" w:rsidRPr="00000000">
              <w:rPr>
                <w:rtl w:val="0"/>
              </w:rPr>
              <w:t xml:space="preserve">60+</w:t>
            </w:r>
          </w:p>
        </w:tc>
        <w:tc>
          <w:tcPr>
            <w:vAlign w:val="center"/>
          </w:tcPr>
          <w:p w:rsidR="00000000" w:rsidDel="00000000" w:rsidP="00000000" w:rsidRDefault="00000000" w:rsidRPr="00000000" w14:paraId="00000352">
            <w:pPr>
              <w:rPr/>
            </w:pPr>
            <w:r w:rsidDel="00000000" w:rsidR="00000000" w:rsidRPr="00000000">
              <w:rPr>
                <w:rtl w:val="0"/>
              </w:rPr>
              <w:t xml:space="preserve">9</w:t>
            </w:r>
          </w:p>
        </w:tc>
        <w:tc>
          <w:tcPr>
            <w:vAlign w:val="center"/>
          </w:tcPr>
          <w:p w:rsidR="00000000" w:rsidDel="00000000" w:rsidP="00000000" w:rsidRDefault="00000000" w:rsidRPr="00000000" w14:paraId="00000353">
            <w:pPr>
              <w:rPr/>
            </w:pPr>
            <w:r w:rsidDel="00000000" w:rsidR="00000000" w:rsidRPr="00000000">
              <w:rPr>
                <w:rtl w:val="0"/>
              </w:rPr>
              <w:t xml:space="preserve">8</w:t>
            </w:r>
          </w:p>
        </w:tc>
        <w:tc>
          <w:tcPr>
            <w:vAlign w:val="center"/>
          </w:tcPr>
          <w:p w:rsidR="00000000" w:rsidDel="00000000" w:rsidP="00000000" w:rsidRDefault="00000000" w:rsidRPr="00000000" w14:paraId="00000354">
            <w:pPr>
              <w:rPr/>
            </w:pPr>
            <w:r w:rsidDel="00000000" w:rsidR="00000000" w:rsidRPr="00000000">
              <w:rPr>
                <w:rtl w:val="0"/>
              </w:rPr>
              <w:t xml:space="preserve">2.6</w:t>
            </w:r>
          </w:p>
        </w:tc>
        <w:tc>
          <w:tcPr>
            <w:vAlign w:val="center"/>
          </w:tcPr>
          <w:p w:rsidR="00000000" w:rsidDel="00000000" w:rsidP="00000000" w:rsidRDefault="00000000" w:rsidRPr="00000000" w14:paraId="00000355">
            <w:pPr>
              <w:rPr/>
            </w:pPr>
            <w:r w:rsidDel="00000000" w:rsidR="00000000" w:rsidRPr="00000000">
              <w:rPr>
                <w:rtl w:val="0"/>
              </w:rPr>
              <w:t xml:space="preserve">50</w:t>
            </w:r>
          </w:p>
        </w:tc>
      </w:tr>
    </w:tbl>
    <w:p w:rsidR="00000000" w:rsidDel="00000000" w:rsidP="00000000" w:rsidRDefault="00000000" w:rsidRPr="00000000" w14:paraId="00000356">
      <w:pPr>
        <w:pStyle w:val="Heading2"/>
        <w:rPr/>
      </w:pPr>
      <w:r w:rsidDel="00000000" w:rsidR="00000000" w:rsidRPr="00000000">
        <w:rPr>
          <w:rtl w:val="0"/>
        </w:rPr>
        <w:t xml:space="preserve">Sikkerhed</w:t>
      </w:r>
    </w:p>
    <w:p w:rsidR="00000000" w:rsidDel="00000000" w:rsidP="00000000" w:rsidRDefault="00000000" w:rsidRPr="00000000" w14:paraId="00000357">
      <w:pPr>
        <w:pStyle w:val="Heading2"/>
        <w:rPr/>
      </w:pPr>
      <w:r w:rsidDel="00000000" w:rsidR="00000000" w:rsidRPr="00000000">
        <w:rPr>
          <w:rtl w:val="0"/>
        </w:rPr>
        <w:t xml:space="preserve">Hovedfund i relation til arbejdshypotesen</w:t>
      </w:r>
    </w:p>
    <w:p w:rsidR="00000000" w:rsidDel="00000000" w:rsidP="00000000" w:rsidRDefault="00000000" w:rsidRPr="00000000" w14:paraId="00000358">
      <w:pPr>
        <w:pStyle w:val="Heading1"/>
        <w:rPr/>
      </w:pPr>
      <w:r w:rsidDel="00000000" w:rsidR="00000000" w:rsidRPr="00000000">
        <w:rPr>
          <w:rtl w:val="0"/>
        </w:rPr>
        <w:t xml:space="preserve">Diskussion</w:t>
      </w:r>
    </w:p>
    <w:p w:rsidR="00000000" w:rsidDel="00000000" w:rsidP="00000000" w:rsidRDefault="00000000" w:rsidRPr="00000000" w14:paraId="00000359">
      <w:pPr>
        <w:rPr/>
      </w:pPr>
      <w:r w:rsidDel="00000000" w:rsidR="00000000" w:rsidRPr="00000000">
        <w:rPr>
          <w:rtl w:val="0"/>
        </w:rPr>
        <w:t xml:space="preserve">RNC’s kliniske kvalitetsdata viser gennemgående før-/efter-forbedringer i træthed på tværs af stroke-/TBI- og hjernerystelseskohorter samt en markant reduktion i hovedpine i hjernerystelseskohorten. Reaktionstid viser forbedringer i gennemsnitlig reaktionstid og i normaliseret procentvis forbedring blandt evaluérbare patienter. Når resultaterne læses gennem en neuroinflammation-først model, er det mest forsvarlige udsagn ikke, at data dokumenterer en specifik anti-neuroinflammatorisk effekt, men at de er forenelige med en model, hvor neuroimmune og neurofysiologiske processer bidrager til vedvarende symptombelastning.</w:t>
      </w:r>
    </w:p>
    <w:p w:rsidR="00000000" w:rsidDel="00000000" w:rsidP="00000000" w:rsidRDefault="00000000" w:rsidRPr="00000000" w14:paraId="0000035A">
      <w:pPr>
        <w:pStyle w:val="Heading2"/>
        <w:rPr/>
      </w:pPr>
      <w:r w:rsidDel="00000000" w:rsidR="00000000" w:rsidRPr="00000000">
        <w:rPr>
          <w:rtl w:val="0"/>
        </w:rPr>
        <w:t xml:space="preserve">Hvordan data og tese konvergerer</w:t>
      </w:r>
    </w:p>
    <w:p w:rsidR="00000000" w:rsidDel="00000000" w:rsidP="00000000" w:rsidRDefault="00000000" w:rsidRPr="00000000" w14:paraId="0000035B">
      <w:pPr>
        <w:rPr/>
      </w:pPr>
      <w:r w:rsidDel="00000000" w:rsidR="00000000" w:rsidRPr="00000000">
        <w:rPr>
          <w:rtl w:val="0"/>
        </w:rPr>
        <w:t xml:space="preserve">De interne data og den overordnede biologiske model konvergerer på flere måder. Forbedringer ses i både stroke/TBI- og hjernerystelseskohorter, hvilket er foreneligt med en model om delvist fælles nedstrøms mekanismer trods forskellig initiel skade. Træthed og hovedpine - de mest symptomnære endepunkter - viser de tydeligste og mest klinisk intuitive før-/efter-signaler. Samtidig gør commotio-litteraturen det fagligt lettere at forklare, hvorfor netop hovedpine, træthed og funktionel overbelastning kan være meningsfulde mål i en biologisk model og ikke blot subjektive klager.</w:t>
      </w:r>
    </w:p>
    <w:p w:rsidR="00000000" w:rsidDel="00000000" w:rsidP="00000000" w:rsidRDefault="00000000" w:rsidRPr="00000000" w14:paraId="0000035C">
      <w:pPr>
        <w:rPr/>
      </w:pPr>
      <w:r w:rsidDel="00000000" w:rsidR="00000000" w:rsidRPr="00000000">
        <w:rPr>
          <w:rtl w:val="0"/>
        </w:rPr>
        <w:t xml:space="preserve">Som supplement til før-/efter-resultaterne blev der udført eksplorative subgruppe- og regressionsanalyser med henblik på at vurdere konsistensen af de observerede ændringer på tværs af patientkarakteristika. Der sås ikke noget tydeligt signal om systematisk effektheterogenitet efter køn, alder eller tid siden skade i de tilgængelige analyser. Flere delgrupper er dog fortsat små, og resultaterne bør derfor fortolkes med forsigtighed og løbende revurderes, efterhånden som kvalitetsdatasættet udbygges. Sværhedsgrad før behandling var den stærkeste prædiktor for absolut ændring, hvilket også kan være påvirket af regression mod middelværdi.</w:t>
      </w:r>
    </w:p>
    <w:p w:rsidR="00000000" w:rsidDel="00000000" w:rsidP="00000000" w:rsidRDefault="00000000" w:rsidRPr="00000000" w14:paraId="0000035D">
      <w:pPr>
        <w:rPr/>
      </w:pPr>
      <w:r w:rsidDel="00000000" w:rsidR="00000000" w:rsidRPr="00000000">
        <w:rPr>
          <w:rtl w:val="0"/>
        </w:rPr>
        <w:t xml:space="preserve">Som supplement til før-/efter-resultaterne blev der udført eksplorative subgruppe- og regressionsanalyser med henblik på at vurdere konsistensen af de observerede ændringer på tværs af patientkarakteristika. Der sås ingen evidens for, at behandlingsassocierede ændringer systematisk afhænger af køn, alder eller tid siden skade. Der blev heller ikke observeret et konsistent mønster med mindre forbedring ved længerevarende eller kroniske skader i de tilgængelige data. Samtidig er flere af delgrupperne fortsat små, og resultaterne bør derfor fortolkes med forsigtighed og løbende revurderes, efterhånden som kvalitetsdatasættet udbygges.</w:t>
      </w:r>
    </w:p>
    <w:p w:rsidR="00000000" w:rsidDel="00000000" w:rsidP="00000000" w:rsidRDefault="00000000" w:rsidRPr="00000000" w14:paraId="0000035E">
      <w:pPr>
        <w:rPr/>
      </w:pPr>
      <w:r w:rsidDel="00000000" w:rsidR="00000000" w:rsidRPr="00000000">
        <w:rPr>
          <w:rtl w:val="0"/>
        </w:rPr>
        <w:t xml:space="preserve">Fundene bør tolkes som konsistensanalyser (hypotesegenererende) snarere end formelle interaktionstests, da datasættet er ukontrolleret og enkelte undergrupper er små. Sværhedsgrad før behandling var den stærkeste prædiktor for absolut forbedring, hvilket også kan være påvirket af regression mod middelværdi.</w:t>
      </w:r>
    </w:p>
    <w:p w:rsidR="00000000" w:rsidDel="00000000" w:rsidP="00000000" w:rsidRDefault="00000000" w:rsidRPr="00000000" w14:paraId="0000035F">
      <w:pPr>
        <w:pStyle w:val="Heading2"/>
        <w:rPr/>
      </w:pPr>
      <w:r w:rsidDel="00000000" w:rsidR="00000000" w:rsidRPr="00000000">
        <w:rPr>
          <w:rtl w:val="0"/>
        </w:rPr>
        <w:t xml:space="preserve">Klinisk relevans og responder-tærskler</w:t>
      </w:r>
    </w:p>
    <w:tbl>
      <w:tblPr>
        <w:tblStyle w:val="Table14"/>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9"/>
        <w:gridCol w:w="2157"/>
        <w:gridCol w:w="2157"/>
        <w:gridCol w:w="2157"/>
        <w:tblGridChange w:id="0">
          <w:tblGrid>
            <w:gridCol w:w="2159"/>
            <w:gridCol w:w="2157"/>
            <w:gridCol w:w="2157"/>
            <w:gridCol w:w="2157"/>
          </w:tblGrid>
        </w:tblGridChange>
      </w:tblGrid>
      <w:tr>
        <w:trPr>
          <w:cantSplit w:val="0"/>
          <w:tblHeader w:val="1"/>
        </w:trPr>
        <w:tc>
          <w:tcPr>
            <w:vAlign w:val="center"/>
          </w:tcPr>
          <w:p w:rsidR="00000000" w:rsidDel="00000000" w:rsidP="00000000" w:rsidRDefault="00000000" w:rsidRPr="00000000" w14:paraId="00000360">
            <w:pPr>
              <w:rPr/>
            </w:pPr>
            <w:r w:rsidDel="00000000" w:rsidR="00000000" w:rsidRPr="00000000">
              <w:rPr>
                <w:rtl w:val="0"/>
              </w:rPr>
              <w:t xml:space="preserve">Prædiktor</w:t>
            </w:r>
          </w:p>
        </w:tc>
        <w:tc>
          <w:tcPr>
            <w:vAlign w:val="center"/>
          </w:tcPr>
          <w:p w:rsidR="00000000" w:rsidDel="00000000" w:rsidP="00000000" w:rsidRDefault="00000000" w:rsidRPr="00000000" w14:paraId="00000361">
            <w:pPr>
              <w:rPr/>
            </w:pPr>
            <w:r w:rsidDel="00000000" w:rsidR="00000000" w:rsidRPr="00000000">
              <w:rPr>
                <w:rtl w:val="0"/>
              </w:rPr>
              <w:t xml:space="preserve">Træthed p</w:t>
            </w:r>
          </w:p>
        </w:tc>
        <w:tc>
          <w:tcPr>
            <w:vAlign w:val="center"/>
          </w:tcPr>
          <w:p w:rsidR="00000000" w:rsidDel="00000000" w:rsidP="00000000" w:rsidRDefault="00000000" w:rsidRPr="00000000" w14:paraId="00000362">
            <w:pPr>
              <w:rPr/>
            </w:pPr>
            <w:r w:rsidDel="00000000" w:rsidR="00000000" w:rsidRPr="00000000">
              <w:rPr>
                <w:rtl w:val="0"/>
              </w:rPr>
              <w:t xml:space="preserve">VAS p</w:t>
            </w:r>
          </w:p>
        </w:tc>
        <w:tc>
          <w:tcPr>
            <w:vAlign w:val="center"/>
          </w:tcPr>
          <w:p w:rsidR="00000000" w:rsidDel="00000000" w:rsidP="00000000" w:rsidRDefault="00000000" w:rsidRPr="00000000" w14:paraId="00000363">
            <w:pPr>
              <w:rPr/>
            </w:pPr>
            <w:r w:rsidDel="00000000" w:rsidR="00000000" w:rsidRPr="00000000">
              <w:rPr>
                <w:rtl w:val="0"/>
              </w:rPr>
              <w:t xml:space="preserve">RT % p</w:t>
            </w:r>
          </w:p>
        </w:tc>
      </w:tr>
      <w:tr>
        <w:trPr>
          <w:cantSplit w:val="0"/>
          <w:tblHeader w:val="0"/>
        </w:trPr>
        <w:tc>
          <w:tcPr>
            <w:vAlign w:val="center"/>
          </w:tcPr>
          <w:p w:rsidR="00000000" w:rsidDel="00000000" w:rsidP="00000000" w:rsidRDefault="00000000" w:rsidRPr="00000000" w14:paraId="00000364">
            <w:pPr>
              <w:rPr/>
            </w:pPr>
            <w:r w:rsidDel="00000000" w:rsidR="00000000" w:rsidRPr="00000000">
              <w:rPr>
                <w:rtl w:val="0"/>
              </w:rPr>
              <w:t xml:space="preserve">Køn (mand vs kvinde)</w:t>
            </w:r>
          </w:p>
        </w:tc>
        <w:tc>
          <w:tcPr>
            <w:vAlign w:val="center"/>
          </w:tcPr>
          <w:p w:rsidR="00000000" w:rsidDel="00000000" w:rsidP="00000000" w:rsidRDefault="00000000" w:rsidRPr="00000000" w14:paraId="00000365">
            <w:pPr>
              <w:rPr/>
            </w:pPr>
            <w:r w:rsidDel="00000000" w:rsidR="00000000" w:rsidRPr="00000000">
              <w:rPr>
                <w:rtl w:val="0"/>
              </w:rPr>
              <w:t xml:space="preserve">0.371</w:t>
            </w:r>
          </w:p>
        </w:tc>
        <w:tc>
          <w:tcPr>
            <w:vAlign w:val="center"/>
          </w:tcPr>
          <w:p w:rsidR="00000000" w:rsidDel="00000000" w:rsidP="00000000" w:rsidRDefault="00000000" w:rsidRPr="00000000" w14:paraId="00000366">
            <w:pPr>
              <w:rPr/>
            </w:pPr>
            <w:r w:rsidDel="00000000" w:rsidR="00000000" w:rsidRPr="00000000">
              <w:rPr>
                <w:rtl w:val="0"/>
              </w:rPr>
              <w:t xml:space="preserve">0.804</w:t>
            </w:r>
          </w:p>
        </w:tc>
        <w:tc>
          <w:tcPr>
            <w:vAlign w:val="center"/>
          </w:tcPr>
          <w:p w:rsidR="00000000" w:rsidDel="00000000" w:rsidP="00000000" w:rsidRDefault="00000000" w:rsidRPr="00000000" w14:paraId="00000367">
            <w:pPr>
              <w:rPr/>
            </w:pPr>
            <w:r w:rsidDel="00000000" w:rsidR="00000000" w:rsidRPr="00000000">
              <w:rPr>
                <w:rtl w:val="0"/>
              </w:rPr>
              <w:t xml:space="preserve">0.360</w:t>
            </w:r>
          </w:p>
        </w:tc>
      </w:tr>
      <w:tr>
        <w:trPr>
          <w:cantSplit w:val="0"/>
          <w:tblHeader w:val="0"/>
        </w:trPr>
        <w:tc>
          <w:tcPr>
            <w:vAlign w:val="center"/>
          </w:tcPr>
          <w:p w:rsidR="00000000" w:rsidDel="00000000" w:rsidP="00000000" w:rsidRDefault="00000000" w:rsidRPr="00000000" w14:paraId="00000368">
            <w:pPr>
              <w:rPr/>
            </w:pPr>
            <w:r w:rsidDel="00000000" w:rsidR="00000000" w:rsidRPr="00000000">
              <w:rPr>
                <w:rtl w:val="0"/>
              </w:rPr>
              <w:t xml:space="preserve">Alder (år)</w:t>
            </w:r>
          </w:p>
        </w:tc>
        <w:tc>
          <w:tcPr>
            <w:vAlign w:val="center"/>
          </w:tcPr>
          <w:p w:rsidR="00000000" w:rsidDel="00000000" w:rsidP="00000000" w:rsidRDefault="00000000" w:rsidRPr="00000000" w14:paraId="00000369">
            <w:pPr>
              <w:rPr/>
            </w:pPr>
            <w:r w:rsidDel="00000000" w:rsidR="00000000" w:rsidRPr="00000000">
              <w:rPr>
                <w:rtl w:val="0"/>
              </w:rPr>
              <w:t xml:space="preserve">0.350</w:t>
            </w:r>
          </w:p>
        </w:tc>
        <w:tc>
          <w:tcPr>
            <w:vAlign w:val="center"/>
          </w:tcPr>
          <w:p w:rsidR="00000000" w:rsidDel="00000000" w:rsidP="00000000" w:rsidRDefault="00000000" w:rsidRPr="00000000" w14:paraId="0000036A">
            <w:pPr>
              <w:rPr/>
            </w:pPr>
            <w:r w:rsidDel="00000000" w:rsidR="00000000" w:rsidRPr="00000000">
              <w:rPr>
                <w:rtl w:val="0"/>
              </w:rPr>
              <w:t xml:space="preserve">0.924</w:t>
            </w:r>
          </w:p>
        </w:tc>
        <w:tc>
          <w:tcPr>
            <w:vAlign w:val="center"/>
          </w:tcPr>
          <w:p w:rsidR="00000000" w:rsidDel="00000000" w:rsidP="00000000" w:rsidRDefault="00000000" w:rsidRPr="00000000" w14:paraId="0000036B">
            <w:pPr>
              <w:rPr/>
            </w:pPr>
            <w:r w:rsidDel="00000000" w:rsidR="00000000" w:rsidRPr="00000000">
              <w:rPr>
                <w:rtl w:val="0"/>
              </w:rPr>
              <w:t xml:space="preserve">0.388</w:t>
            </w:r>
          </w:p>
        </w:tc>
      </w:tr>
      <w:tr>
        <w:trPr>
          <w:cantSplit w:val="0"/>
          <w:tblHeader w:val="0"/>
        </w:trPr>
        <w:tc>
          <w:tcPr>
            <w:vAlign w:val="center"/>
          </w:tcPr>
          <w:p w:rsidR="00000000" w:rsidDel="00000000" w:rsidP="00000000" w:rsidRDefault="00000000" w:rsidRPr="00000000" w14:paraId="0000036C">
            <w:pPr>
              <w:rPr/>
            </w:pPr>
            <w:r w:rsidDel="00000000" w:rsidR="00000000" w:rsidRPr="00000000">
              <w:rPr>
                <w:rtl w:val="0"/>
              </w:rPr>
              <w:t xml:space="preserve">Tid siden skade</w:t>
            </w:r>
          </w:p>
        </w:tc>
        <w:tc>
          <w:tcPr>
            <w:vAlign w:val="center"/>
          </w:tcPr>
          <w:p w:rsidR="00000000" w:rsidDel="00000000" w:rsidP="00000000" w:rsidRDefault="00000000" w:rsidRPr="00000000" w14:paraId="0000036D">
            <w:pPr>
              <w:rPr/>
            </w:pPr>
            <w:r w:rsidDel="00000000" w:rsidR="00000000" w:rsidRPr="00000000">
              <w:rPr>
                <w:rtl w:val="0"/>
              </w:rPr>
              <w:t xml:space="preserve">0.445</w:t>
            </w:r>
          </w:p>
        </w:tc>
        <w:tc>
          <w:tcPr>
            <w:vAlign w:val="center"/>
          </w:tcPr>
          <w:p w:rsidR="00000000" w:rsidDel="00000000" w:rsidP="00000000" w:rsidRDefault="00000000" w:rsidRPr="00000000" w14:paraId="0000036E">
            <w:pPr>
              <w:rPr/>
            </w:pPr>
            <w:r w:rsidDel="00000000" w:rsidR="00000000" w:rsidRPr="00000000">
              <w:rPr>
                <w:rtl w:val="0"/>
              </w:rPr>
              <w:t xml:space="preserve">0.372</w:t>
            </w:r>
          </w:p>
        </w:tc>
        <w:tc>
          <w:tcPr>
            <w:vAlign w:val="center"/>
          </w:tcPr>
          <w:p w:rsidR="00000000" w:rsidDel="00000000" w:rsidP="00000000" w:rsidRDefault="00000000" w:rsidRPr="00000000" w14:paraId="0000036F">
            <w:pPr>
              <w:rPr/>
            </w:pPr>
            <w:r w:rsidDel="00000000" w:rsidR="00000000" w:rsidRPr="00000000">
              <w:rPr>
                <w:rtl w:val="0"/>
              </w:rPr>
              <w:t xml:space="preserve">0.367</w:t>
            </w:r>
          </w:p>
        </w:tc>
      </w:tr>
      <w:tr>
        <w:trPr>
          <w:cantSplit w:val="0"/>
          <w:tblHeader w:val="0"/>
        </w:trPr>
        <w:tc>
          <w:tcPr>
            <w:vAlign w:val="center"/>
          </w:tcPr>
          <w:p w:rsidR="00000000" w:rsidDel="00000000" w:rsidP="00000000" w:rsidRDefault="00000000" w:rsidRPr="00000000" w14:paraId="00000370">
            <w:pPr>
              <w:rPr/>
            </w:pPr>
            <w:r w:rsidDel="00000000" w:rsidR="00000000" w:rsidRPr="00000000">
              <w:rPr>
                <w:rtl w:val="0"/>
              </w:rPr>
              <w:t xml:space="preserve">Kohorte (hjerneskade vs hjernerystelse)</w:t>
            </w:r>
          </w:p>
        </w:tc>
        <w:tc>
          <w:tcPr>
            <w:vAlign w:val="center"/>
          </w:tcPr>
          <w:p w:rsidR="00000000" w:rsidDel="00000000" w:rsidP="00000000" w:rsidRDefault="00000000" w:rsidRPr="00000000" w14:paraId="00000371">
            <w:pPr>
              <w:rPr/>
            </w:pPr>
            <w:r w:rsidDel="00000000" w:rsidR="00000000" w:rsidRPr="00000000">
              <w:rPr>
                <w:rtl w:val="0"/>
              </w:rPr>
              <w:t xml:space="preserve">0.379</w:t>
            </w:r>
          </w:p>
        </w:tc>
        <w:tc>
          <w:tcPr>
            <w:vAlign w:val="center"/>
          </w:tcPr>
          <w:p w:rsidR="00000000" w:rsidDel="00000000" w:rsidP="00000000" w:rsidRDefault="00000000" w:rsidRPr="00000000" w14:paraId="00000372">
            <w:pPr>
              <w:rPr/>
            </w:pPr>
            <w:r w:rsidDel="00000000" w:rsidR="00000000" w:rsidRPr="00000000">
              <w:rPr>
                <w:rtl w:val="0"/>
              </w:rPr>
              <w:t xml:space="preserve">NA</w:t>
            </w:r>
          </w:p>
        </w:tc>
        <w:tc>
          <w:tcPr>
            <w:vAlign w:val="center"/>
          </w:tcPr>
          <w:p w:rsidR="00000000" w:rsidDel="00000000" w:rsidP="00000000" w:rsidRDefault="00000000" w:rsidRPr="00000000" w14:paraId="00000373">
            <w:pPr>
              <w:rPr/>
            </w:pPr>
            <w:r w:rsidDel="00000000" w:rsidR="00000000" w:rsidRPr="00000000">
              <w:rPr>
                <w:rtl w:val="0"/>
              </w:rPr>
              <w:t xml:space="preserve">0.324</w:t>
            </w:r>
          </w:p>
        </w:tc>
      </w:tr>
      <w:tr>
        <w:trPr>
          <w:cantSplit w:val="0"/>
          <w:tblHeader w:val="0"/>
        </w:trPr>
        <w:tc>
          <w:tcPr>
            <w:vAlign w:val="center"/>
          </w:tcPr>
          <w:p w:rsidR="00000000" w:rsidDel="00000000" w:rsidP="00000000" w:rsidRDefault="00000000" w:rsidRPr="00000000" w14:paraId="00000374">
            <w:pPr>
              <w:rPr/>
            </w:pPr>
            <w:r w:rsidDel="00000000" w:rsidR="00000000" w:rsidRPr="00000000">
              <w:rPr>
                <w:rtl w:val="0"/>
              </w:rPr>
              <w:t xml:space="preserve">Før-behandling-score (sværhedsgrad)</w:t>
            </w:r>
          </w:p>
        </w:tc>
        <w:tc>
          <w:tcPr>
            <w:vAlign w:val="center"/>
          </w:tcPr>
          <w:p w:rsidR="00000000" w:rsidDel="00000000" w:rsidP="00000000" w:rsidRDefault="00000000" w:rsidRPr="00000000" w14:paraId="00000375">
            <w:pPr>
              <w:rPr/>
            </w:pPr>
            <w:r w:rsidDel="00000000" w:rsidR="00000000" w:rsidRPr="00000000">
              <w:rPr>
                <w:rtl w:val="0"/>
              </w:rPr>
              <w:t xml:space="preserve">7.49e-05</w:t>
            </w:r>
          </w:p>
        </w:tc>
        <w:tc>
          <w:tcPr>
            <w:vAlign w:val="center"/>
          </w:tcPr>
          <w:p w:rsidR="00000000" w:rsidDel="00000000" w:rsidP="00000000" w:rsidRDefault="00000000" w:rsidRPr="00000000" w14:paraId="00000376">
            <w:pPr>
              <w:rPr/>
            </w:pPr>
            <w:r w:rsidDel="00000000" w:rsidR="00000000" w:rsidRPr="00000000">
              <w:rPr>
                <w:rtl w:val="0"/>
              </w:rPr>
              <w:t xml:space="preserve">1.35e-04</w:t>
            </w:r>
          </w:p>
        </w:tc>
        <w:tc>
          <w:tcPr>
            <w:vAlign w:val="center"/>
          </w:tcPr>
          <w:p w:rsidR="00000000" w:rsidDel="00000000" w:rsidP="00000000" w:rsidRDefault="00000000" w:rsidRPr="00000000" w14:paraId="00000377">
            <w:pPr>
              <w:rPr/>
            </w:pPr>
            <w:r w:rsidDel="00000000" w:rsidR="00000000" w:rsidRPr="00000000">
              <w:rPr>
                <w:rtl w:val="0"/>
              </w:rPr>
              <w:t xml:space="preserve">0.349</w:t>
            </w:r>
          </w:p>
        </w:tc>
      </w:tr>
    </w:tbl>
    <w:p w:rsidR="00000000" w:rsidDel="00000000" w:rsidP="00000000" w:rsidRDefault="00000000" w:rsidRPr="00000000" w14:paraId="00000378">
      <w:pPr>
        <w:rPr/>
      </w:pPr>
      <w:r w:rsidDel="00000000" w:rsidR="00000000" w:rsidRPr="00000000">
        <w:rPr>
          <w:rtl w:val="0"/>
        </w:rPr>
        <w:t xml:space="preserve">Responder-tærskler er valgt a priori som pragmatiske, patientrelevante ankermål. For VAS-smerte angiver litteraturen ofte en minimal klinisk relevant ændring omkring 10-20 mm på en 100 mm VAS, svarende til cirka 1-2 point på en 0-10-skala; en responder-tærskel på &gt;=3 point er derfor konservativ og valgt for at afspejle en tydelig symptomændring. For FSS (klassisk 1-7) er publicerede MID-estimater typisk under 1 point; en tærskel på &gt;=1 point på den anvendte 1-6-skala er derfor ligeledes konservativ, men skal fortolkes med forbehold på grund af instrumentmodifikation. Den metodiske styrke ved disse tærskler er, at de er tydelige og reproducerbare; svagheden er, at de fortsat er pragmatiske og ikke formaliseret valideret specifikt i dette datasæt.</w:t>
      </w:r>
    </w:p>
    <w:p w:rsidR="00000000" w:rsidDel="00000000" w:rsidP="00000000" w:rsidRDefault="00000000" w:rsidRPr="00000000" w14:paraId="00000379">
      <w:pPr>
        <w:pStyle w:val="Heading2"/>
        <w:rPr/>
      </w:pPr>
      <w:r w:rsidDel="00000000" w:rsidR="00000000" w:rsidRPr="00000000">
        <w:rPr>
          <w:rtl w:val="0"/>
        </w:rPr>
        <w:t xml:space="preserve">Hjernerystelse: fysiologisk og neuroinflammatorisk kontekst</w:t>
      </w:r>
    </w:p>
    <w:p w:rsidR="00000000" w:rsidDel="00000000" w:rsidP="00000000" w:rsidRDefault="00000000" w:rsidRPr="00000000" w14:paraId="0000037A">
      <w:pPr>
        <w:rPr/>
      </w:pPr>
      <w:r w:rsidDel="00000000" w:rsidR="00000000" w:rsidRPr="00000000">
        <w:rPr>
          <w:rtl w:val="0"/>
        </w:rPr>
        <w:t xml:space="preserve">Nyere commotio-litteratur giver en vigtig fysiologisk ramme for fortolkningen af RNC’s hjernerystelsesdata. Clausen, Leddy og kolleger viste hos kvindelige atleter med post-concussion syndrome, at belastningsudløste symptomer var associeret med lavere ventilation, højere end-tidal CO2 og højere cerebral blood flow velocity ved sammenlignelige arbejdsbelastninger end hos raske kontroller, og at disse mål samt belastningstolerance kunne normaliseres efter subsymptomatisk aerob træning. Dette understøtter, at persisterende symptomer efter hjernerystelse i en undergruppe kan være forbundet med målbar fysiologisk og hæmodynamisk dysfunktion.</w:t>
      </w:r>
    </w:p>
    <w:p w:rsidR="00000000" w:rsidDel="00000000" w:rsidP="00000000" w:rsidRDefault="00000000" w:rsidRPr="00000000" w14:paraId="0000037B">
      <w:pPr>
        <w:rPr/>
      </w:pPr>
      <w:r w:rsidDel="00000000" w:rsidR="00000000" w:rsidRPr="00000000">
        <w:rPr>
          <w:rtl w:val="0"/>
        </w:rPr>
        <w:t xml:space="preserve">Den efterfølgende litteratur fra samme forskningsmiljø peger i samme retning. Reviewet "Exercise is Medicine for Concussion", Frontiers-artiklen om en fysiologisk tilgang til akut concussion, den systematiske review og meta-analyse fra 2023, Amsterdam-konsensus og en nyere NEJM Clinical Practice-oversigt understøtter samlet, at aktiv, gradueret og individuelt tilpasset håndtering er mere evidensbaseret end langvarig streng hvile. Dertil kommer reviewet om post-inflammatory brain syndromes, som beskriver, at post-concussion symptomer kan have en væsentlig neuro- og systemisk inflammatorisk komponent. Denne litteratur er ikke dokumentation for PSE-effekt, men den styrker den biologiske og kliniske legitimitet af commotio-kohorten og gør det mere meningsfuldt at læse hovedpine og træthed som symptomnære mål i en neuroinflammatorisk model.</w:t>
      </w:r>
    </w:p>
    <w:p w:rsidR="00000000" w:rsidDel="00000000" w:rsidP="00000000" w:rsidRDefault="00000000" w:rsidRPr="00000000" w14:paraId="0000037C">
      <w:pPr>
        <w:rPr/>
      </w:pPr>
      <w:r w:rsidDel="00000000" w:rsidR="00000000" w:rsidRPr="00000000">
        <w:rPr>
          <w:rtl w:val="0"/>
        </w:rPr>
        <w:t xml:space="preserve">Denne ramme er samtidig forenelig med bredere peer-reviewet litteratur om neuroinflammation efter TBI og stroke, hvor mikroglia, astrocytter, blod-hjerne-barriere og neurovaskulære mekanismer beskrives som centrale komponenter i både skade og restitution. Reaktionstid kan i dette lys ses som et supplerende, præstationsbaseret mål, men bør fortsat fortolkes mere forsigtigt end hovedpine og træthed, da det ikke er et standardiseret endepunkt i denne litteratur og er mere sårbart for læringseffekt og gulveffekter.</w:t>
      </w:r>
    </w:p>
    <w:p w:rsidR="00000000" w:rsidDel="00000000" w:rsidP="00000000" w:rsidRDefault="00000000" w:rsidRPr="00000000" w14:paraId="0000037D">
      <w:pPr>
        <w:pStyle w:val="Heading2"/>
        <w:rPr/>
      </w:pPr>
      <w:r w:rsidDel="00000000" w:rsidR="00000000" w:rsidRPr="00000000">
        <w:rPr>
          <w:rtl w:val="0"/>
        </w:rPr>
        <w:t xml:space="preserve">Sammenholdt med ekstern evidens og TNF-rationale</w:t>
      </w:r>
    </w:p>
    <w:p w:rsidR="00000000" w:rsidDel="00000000" w:rsidP="00000000" w:rsidRDefault="00000000" w:rsidRPr="00000000" w14:paraId="0000037E">
      <w:pPr>
        <w:rPr/>
      </w:pPr>
      <w:r w:rsidDel="00000000" w:rsidR="00000000" w:rsidRPr="00000000">
        <w:rPr>
          <w:rtl w:val="0"/>
        </w:rPr>
        <w:t xml:space="preserve">Ekstern evidens er heterogen, og dette er centralt for dossierets faglige balance. PESTO-RCT’en (25 mg, én injektion, livskvalitetsendepunkt ved dag 28) fandt ikke forbedring i livskvalitetsendepunktet, men bidrager med vigtig sikkerhedsinformation og understreger behovet for god sammenhæng mellem valgte endepunkter og opfølgningshorisont. Ralph et al. (2020) rapporterede i et randomiseret studie forbedringer i smerte og mobilitet efter PSE (to injektioner). Tobinick et al. (2012) rapporterede observationelle data fra 629 konsekutive patienter med kroniske følger efter stroke/TBI og beskrev kliniske forbedringer; som observationelt design kan studiet understøtte et signal, men ikke etablere kausalitet. Ignatowski et al. (2014) og reviews af Clark, Vissel, Tuttolomondo og Olmos beskriver samlet et rationelt TNF-fokuseret neuroinflammatorisk rationale, hvor TNF forbindes til glial aktivering, excitotoksicitet og vedvarende cerebral dysfunktion.</w:t>
      </w:r>
    </w:p>
    <w:p w:rsidR="00000000" w:rsidDel="00000000" w:rsidP="00000000" w:rsidRDefault="00000000" w:rsidRPr="00000000" w14:paraId="0000037F">
      <w:pPr>
        <w:rPr/>
      </w:pPr>
      <w:r w:rsidDel="00000000" w:rsidR="00000000" w:rsidRPr="00000000">
        <w:rPr>
          <w:rtl w:val="0"/>
        </w:rPr>
        <w:t xml:space="preserve">Mekanistisk plausibilitet for central eller CSF-nær eksponering efter perispinal administration er beskrevet i en microPET-dyremodel og i reviews om det cerebrospinale venøse system og perispinal levering. Samtidig foreligger senere prækliniske data, der ikke fandt evidens for central levering og i stedet så lokal ophobning. Det styrker den faglige troværdighed, at begge spor beskrives åbent. Samlet set er evidensen derfor bedst forstået som biologisk og klinisk plausibel, men fortsat utilstrækkelig til kausale påstande om mekanisme eller effekt.</w:t>
      </w:r>
    </w:p>
    <w:p w:rsidR="00000000" w:rsidDel="00000000" w:rsidP="00000000" w:rsidRDefault="00000000" w:rsidRPr="00000000" w14:paraId="00000380">
      <w:pPr>
        <w:rPr/>
      </w:pPr>
      <w:r w:rsidDel="00000000" w:rsidR="00000000" w:rsidRPr="00000000">
        <w:rPr>
          <w:rtl w:val="0"/>
        </w:rPr>
        <w:t xml:space="preserve">† RT-modellen anvender evaluérbare observationer (RT_før &gt; 0,30 s) i henhold til den foruddefinerede regel for randtilfælde. Tid siden skade er beregnet som behandlingsdato minus skadesdato og indgår som kovariat i den aktuelle analyse.</w:t>
      </w:r>
    </w:p>
    <w:p w:rsidR="00000000" w:rsidDel="00000000" w:rsidP="00000000" w:rsidRDefault="00000000" w:rsidRPr="00000000" w14:paraId="00000381">
      <w:pPr>
        <w:rPr/>
      </w:pPr>
      <w:r w:rsidDel="00000000" w:rsidR="00000000" w:rsidRPr="00000000">
        <w:rPr>
          <w:rtl w:val="0"/>
        </w:rPr>
        <w:t xml:space="preserve">† P-værdien for RT % ved 'Tid siden skade' er estimeret i den aktuelle RT-model baseret på evaluérbare RT-observationer (RT_før &gt; 0,30 s). Tid siden skade er beregnet som behandlingsdato minus skadesdato og indgår som kovariat i den aktuelle analyse.</w:t>
      </w:r>
    </w:p>
    <w:p w:rsidR="00000000" w:rsidDel="00000000" w:rsidP="00000000" w:rsidRDefault="00000000" w:rsidRPr="00000000" w14:paraId="00000382">
      <w:pPr>
        <w:pStyle w:val="Heading2"/>
        <w:rPr/>
      </w:pPr>
      <w:r w:rsidDel="00000000" w:rsidR="00000000" w:rsidRPr="00000000">
        <w:rPr>
          <w:rtl w:val="0"/>
        </w:rPr>
        <w:t xml:space="preserve">Audit-svar (kort)</w:t>
      </w:r>
    </w:p>
    <w:p w:rsidR="00000000" w:rsidDel="00000000" w:rsidP="00000000" w:rsidRDefault="00000000" w:rsidRPr="00000000" w14:paraId="00000383">
      <w:pPr>
        <w:rPr/>
      </w:pPr>
      <w:r w:rsidDel="00000000" w:rsidR="00000000" w:rsidRPr="00000000">
        <w:rPr>
          <w:rtl w:val="0"/>
        </w:rPr>
        <w:t xml:space="preserve">Svar: Nyere litteratur om sportsrelateret hjernerystelse og vedvarende post-concussion symptomer understøtter, at en undergruppe har målbar autonom og cerebrovaskulær dysfunktion samt exercise intolerance. Clausen og Leddy beskrev abnorm ventilation, forhøjet end-tidal CO2 og ændret cerebral blood flow velocity under belastning, og efterfølgende reviews, meta-analyser, Amsterdam-konsensus og NEJM Clinical Practice peger samlet på, at aktiv fysiologisk håndtering er mere evidensbaseret end langvarig hvile. Reviewet om post-inflammatory brain syndromes understøtter desuden, at post-concussion symptomer kan have en betydelig inflammatorisk komponent. Denne litteratur er ikke dokumentation for PSE-effekt, men den understøtter, at commotio-kohorten er klinisk relevant, biologisk plausibel og egnet til systematisk endepunktsmåling.</w:t>
      </w:r>
    </w:p>
    <w:p w:rsidR="00000000" w:rsidDel="00000000" w:rsidP="00000000" w:rsidRDefault="00000000" w:rsidRPr="00000000" w14:paraId="00000384">
      <w:pPr>
        <w:rPr/>
      </w:pPr>
      <w:r w:rsidDel="00000000" w:rsidR="00000000" w:rsidRPr="00000000">
        <w:rPr>
          <w:rtl w:val="0"/>
        </w:rPr>
        <w:t xml:space="preserve">Svar: Nyere litteratur om sportsrelateret hjernerystelse og vedvarende post-concussion symptomer understøtter, at en undergruppe har målbar autonom og cerebrovaskulær dysfunktion samt exercise intolerance. Clausen og Leddy beskrev abnorm ventilation, forhøjet end-tidal CO2 og ændret cerebral blood flow velocity under belastning, og efterfølgende reviews, meta-analyser, Amsterdam-konsensus og NEJM Clinical Practice peger samlet på, at aktiv fysiologisk håndtering er mere evidensbaseret end langvarig hvile. Denne litteratur er ikke dokumentation for PSE-effekt, men den understøtter, at commotio-kohorten er klinisk relevant, biologisk plausibel og egnet til systematisk endepunktsmåling (Clausen et al., 2016; Leddy et al., 2018; Leddy et al., 2023; Patricios et al., 2023; Leddy, 2025).</w:t>
      </w:r>
    </w:p>
    <w:p w:rsidR="00000000" w:rsidDel="00000000" w:rsidP="00000000" w:rsidRDefault="00000000" w:rsidRPr="00000000" w14:paraId="00000385">
      <w:pPr>
        <w:rPr/>
      </w:pPr>
      <w:r w:rsidDel="00000000" w:rsidR="00000000" w:rsidRPr="00000000">
        <w:rPr>
          <w:rtl w:val="0"/>
        </w:rPr>
        <w:t xml:space="preserve">Indvending: “PESTO var negativ – hvorfor er den relevant i et value dossier?”</w:t>
      </w:r>
    </w:p>
    <w:p w:rsidR="00000000" w:rsidDel="00000000" w:rsidP="00000000" w:rsidRDefault="00000000" w:rsidRPr="00000000" w14:paraId="00000386">
      <w:pPr>
        <w:rPr/>
      </w:pPr>
      <w:r w:rsidDel="00000000" w:rsidR="00000000" w:rsidRPr="00000000">
        <w:rPr>
          <w:rtl w:val="0"/>
        </w:rPr>
        <w:t xml:space="preserve">Svar: PESTO udgør central klasse I-evidens for, at perispinal etanercept (25 mg) ikke forbedrer livskvalitetsendepunktet ved dag 28 i en population med kronisk apopleksi. I dette dossier anvendes PESTO til at afgrænse udsagnene, således at der ikke drages kausale konklusioner på baggrund af før-/efter-data fra klinisk kvalitetspraksis. Samtidig rapporterer PESTO et eksplorativt, tidsforskudt smertesignal ved dag 56 på VAS-smerte (0–100), estimeret med justeret median-/kvantilregression (se afsnittet 'Sammenholdt med ekstern evidens'). Dette anvendes udelukkende som kontekst for valg af endepunkter og opfølgningshorisont og som rationale for næste evidenstrin med komparator, længere opfølgning og harmoniserede endepunkter. PESTO omfattede patienter med kronisk stroke og kan derfor ikke uden videre overføres til TBI, hjernerystelse eller long-COVID, som også indgår i RNC’s kvalitetsdata (Thijs et al., 2025).</w:t>
      </w:r>
    </w:p>
    <w:p w:rsidR="00000000" w:rsidDel="00000000" w:rsidP="00000000" w:rsidRDefault="00000000" w:rsidRPr="00000000" w14:paraId="00000387">
      <w:pPr>
        <w:rPr/>
      </w:pPr>
      <w:r w:rsidDel="00000000" w:rsidR="00000000" w:rsidRPr="00000000">
        <w:rPr>
          <w:rtl w:val="0"/>
        </w:rPr>
        <w:t xml:space="preserve">Svar: I eksplorative regressions- og stratificeringsanalyser sås ikke noget tydeligt signal om, at ændringer i endepunkter varierer systematisk med køn, alder eller tid siden skade. Sværhedsgrad før behandling var den primære prædiktor for absolut ændring; dette er forventeligt i før-/efter-design og understreger behovet for studier med komparator, hvis der ønskes kausale konklusioner og formelle subgruppeanalyser. Flere delgrupper er dog fortsat små, og spørgsmålet bør løbende revurderes, efterhånden som datasættet udbygges.</w:t>
      </w:r>
    </w:p>
    <w:p w:rsidR="00000000" w:rsidDel="00000000" w:rsidP="00000000" w:rsidRDefault="00000000" w:rsidRPr="00000000" w14:paraId="00000388">
      <w:pPr>
        <w:rPr/>
      </w:pPr>
      <w:r w:rsidDel="00000000" w:rsidR="00000000" w:rsidRPr="00000000">
        <w:rPr>
          <w:rtl w:val="0"/>
        </w:rPr>
        <w:t xml:space="preserve">Svar: I eksplorative regressions- og stratificeringsanalyser blev der ikke identificeret evidens for, at ændringer i endepunkter varierer systematisk med køn, alder eller tid siden skade. Sværhedsgrad før behandling var den primære prædiktor for absolut ændring; dette er forventeligt i før-/efter-design og understreger behovet for studier med komparator, hvis der ønskes kausale konklusioner og formelle subgruppeanalyser. Flere delgrupper er dog fortsat små, og dette spørgsmål bør løbende revurderes, efterhånden som datasættet udbygges.</w:t>
      </w:r>
    </w:p>
    <w:p w:rsidR="00000000" w:rsidDel="00000000" w:rsidP="00000000" w:rsidRDefault="00000000" w:rsidRPr="00000000" w14:paraId="00000389">
      <w:pPr>
        <w:rPr/>
      </w:pPr>
      <w:r w:rsidDel="00000000" w:rsidR="00000000" w:rsidRPr="00000000">
        <w:rPr>
          <w:rtl w:val="0"/>
        </w:rPr>
        <w:t xml:space="preserve">Tabel AR1. Samlet regressionsgrundlag for udsagnet om fravær af systematisk effekt-heterogenitet (p-værdier; OLS HC3).</w:t>
      </w:r>
    </w:p>
    <w:tbl>
      <w:tblPr>
        <w:tblStyle w:val="Table15"/>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9"/>
        <w:gridCol w:w="2157"/>
        <w:gridCol w:w="2157"/>
        <w:gridCol w:w="2157"/>
        <w:tblGridChange w:id="0">
          <w:tblGrid>
            <w:gridCol w:w="2159"/>
            <w:gridCol w:w="2157"/>
            <w:gridCol w:w="2157"/>
            <w:gridCol w:w="2157"/>
          </w:tblGrid>
        </w:tblGridChange>
      </w:tblGrid>
      <w:tr>
        <w:trPr>
          <w:cantSplit w:val="0"/>
          <w:tblHeader w:val="1"/>
        </w:trPr>
        <w:tc>
          <w:tcPr>
            <w:vAlign w:val="center"/>
          </w:tcPr>
          <w:p w:rsidR="00000000" w:rsidDel="00000000" w:rsidP="00000000" w:rsidRDefault="00000000" w:rsidRPr="00000000" w14:paraId="0000038A">
            <w:pPr>
              <w:rPr/>
            </w:pPr>
            <w:r w:rsidDel="00000000" w:rsidR="00000000" w:rsidRPr="00000000">
              <w:rPr>
                <w:rtl w:val="0"/>
              </w:rPr>
              <w:t xml:space="preserve">Prædiktor</w:t>
            </w:r>
          </w:p>
        </w:tc>
        <w:tc>
          <w:tcPr>
            <w:vAlign w:val="center"/>
          </w:tcPr>
          <w:p w:rsidR="00000000" w:rsidDel="00000000" w:rsidP="00000000" w:rsidRDefault="00000000" w:rsidRPr="00000000" w14:paraId="0000038B">
            <w:pPr>
              <w:rPr/>
            </w:pPr>
            <w:r w:rsidDel="00000000" w:rsidR="00000000" w:rsidRPr="00000000">
              <w:rPr>
                <w:rtl w:val="0"/>
              </w:rPr>
              <w:t xml:space="preserve">Træthed p</w:t>
            </w:r>
          </w:p>
        </w:tc>
        <w:tc>
          <w:tcPr>
            <w:vAlign w:val="center"/>
          </w:tcPr>
          <w:p w:rsidR="00000000" w:rsidDel="00000000" w:rsidP="00000000" w:rsidRDefault="00000000" w:rsidRPr="00000000" w14:paraId="0000038C">
            <w:pPr>
              <w:rPr/>
            </w:pPr>
            <w:r w:rsidDel="00000000" w:rsidR="00000000" w:rsidRPr="00000000">
              <w:rPr>
                <w:rtl w:val="0"/>
              </w:rPr>
              <w:t xml:space="preserve">VAS p</w:t>
            </w:r>
          </w:p>
        </w:tc>
        <w:tc>
          <w:tcPr>
            <w:vAlign w:val="center"/>
          </w:tcPr>
          <w:p w:rsidR="00000000" w:rsidDel="00000000" w:rsidP="00000000" w:rsidRDefault="00000000" w:rsidRPr="00000000" w14:paraId="0000038D">
            <w:pPr>
              <w:rPr/>
            </w:pPr>
            <w:r w:rsidDel="00000000" w:rsidR="00000000" w:rsidRPr="00000000">
              <w:rPr>
                <w:rtl w:val="0"/>
              </w:rPr>
              <w:t xml:space="preserve">RT % p</w:t>
            </w:r>
          </w:p>
        </w:tc>
      </w:tr>
      <w:tr>
        <w:trPr>
          <w:cantSplit w:val="0"/>
          <w:tblHeader w:val="0"/>
        </w:trPr>
        <w:tc>
          <w:tcPr>
            <w:vAlign w:val="center"/>
          </w:tcPr>
          <w:p w:rsidR="00000000" w:rsidDel="00000000" w:rsidP="00000000" w:rsidRDefault="00000000" w:rsidRPr="00000000" w14:paraId="0000038E">
            <w:pPr>
              <w:rPr/>
            </w:pPr>
            <w:r w:rsidDel="00000000" w:rsidR="00000000" w:rsidRPr="00000000">
              <w:rPr>
                <w:rtl w:val="0"/>
              </w:rPr>
              <w:t xml:space="preserve">Køn (mand vs kvinde)</w:t>
            </w:r>
          </w:p>
        </w:tc>
        <w:tc>
          <w:tcPr>
            <w:vAlign w:val="center"/>
          </w:tcPr>
          <w:p w:rsidR="00000000" w:rsidDel="00000000" w:rsidP="00000000" w:rsidRDefault="00000000" w:rsidRPr="00000000" w14:paraId="0000038F">
            <w:pPr>
              <w:rPr/>
            </w:pPr>
            <w:r w:rsidDel="00000000" w:rsidR="00000000" w:rsidRPr="00000000">
              <w:rPr>
                <w:rtl w:val="0"/>
              </w:rPr>
              <w:t xml:space="preserve">0.371</w:t>
            </w:r>
          </w:p>
        </w:tc>
        <w:tc>
          <w:tcPr>
            <w:vAlign w:val="center"/>
          </w:tcPr>
          <w:p w:rsidR="00000000" w:rsidDel="00000000" w:rsidP="00000000" w:rsidRDefault="00000000" w:rsidRPr="00000000" w14:paraId="00000390">
            <w:pPr>
              <w:rPr/>
            </w:pPr>
            <w:r w:rsidDel="00000000" w:rsidR="00000000" w:rsidRPr="00000000">
              <w:rPr>
                <w:rtl w:val="0"/>
              </w:rPr>
              <w:t xml:space="preserve">0.804</w:t>
            </w:r>
          </w:p>
        </w:tc>
        <w:tc>
          <w:tcPr>
            <w:vAlign w:val="center"/>
          </w:tcPr>
          <w:p w:rsidR="00000000" w:rsidDel="00000000" w:rsidP="00000000" w:rsidRDefault="00000000" w:rsidRPr="00000000" w14:paraId="00000391">
            <w:pPr>
              <w:rPr/>
            </w:pPr>
            <w:r w:rsidDel="00000000" w:rsidR="00000000" w:rsidRPr="00000000">
              <w:rPr>
                <w:rtl w:val="0"/>
              </w:rPr>
              <w:t xml:space="preserve">0.360</w:t>
            </w:r>
          </w:p>
        </w:tc>
      </w:tr>
      <w:tr>
        <w:trPr>
          <w:cantSplit w:val="0"/>
          <w:tblHeader w:val="0"/>
        </w:trPr>
        <w:tc>
          <w:tcPr>
            <w:vAlign w:val="center"/>
          </w:tcPr>
          <w:p w:rsidR="00000000" w:rsidDel="00000000" w:rsidP="00000000" w:rsidRDefault="00000000" w:rsidRPr="00000000" w14:paraId="00000392">
            <w:pPr>
              <w:rPr/>
            </w:pPr>
            <w:r w:rsidDel="00000000" w:rsidR="00000000" w:rsidRPr="00000000">
              <w:rPr>
                <w:rtl w:val="0"/>
              </w:rPr>
              <w:t xml:space="preserve">Alder (år)</w:t>
            </w:r>
          </w:p>
        </w:tc>
        <w:tc>
          <w:tcPr>
            <w:vAlign w:val="center"/>
          </w:tcPr>
          <w:p w:rsidR="00000000" w:rsidDel="00000000" w:rsidP="00000000" w:rsidRDefault="00000000" w:rsidRPr="00000000" w14:paraId="00000393">
            <w:pPr>
              <w:rPr/>
            </w:pPr>
            <w:r w:rsidDel="00000000" w:rsidR="00000000" w:rsidRPr="00000000">
              <w:rPr>
                <w:rtl w:val="0"/>
              </w:rPr>
              <w:t xml:space="preserve">0.350</w:t>
            </w:r>
          </w:p>
        </w:tc>
        <w:tc>
          <w:tcPr>
            <w:vAlign w:val="center"/>
          </w:tcPr>
          <w:p w:rsidR="00000000" w:rsidDel="00000000" w:rsidP="00000000" w:rsidRDefault="00000000" w:rsidRPr="00000000" w14:paraId="00000394">
            <w:pPr>
              <w:rPr/>
            </w:pPr>
            <w:r w:rsidDel="00000000" w:rsidR="00000000" w:rsidRPr="00000000">
              <w:rPr>
                <w:rtl w:val="0"/>
              </w:rPr>
              <w:t xml:space="preserve">0.924</w:t>
            </w:r>
          </w:p>
        </w:tc>
        <w:tc>
          <w:tcPr>
            <w:vAlign w:val="center"/>
          </w:tcPr>
          <w:p w:rsidR="00000000" w:rsidDel="00000000" w:rsidP="00000000" w:rsidRDefault="00000000" w:rsidRPr="00000000" w14:paraId="00000395">
            <w:pPr>
              <w:rPr/>
            </w:pPr>
            <w:r w:rsidDel="00000000" w:rsidR="00000000" w:rsidRPr="00000000">
              <w:rPr>
                <w:rtl w:val="0"/>
              </w:rPr>
              <w:t xml:space="preserve">0.388</w:t>
            </w:r>
          </w:p>
        </w:tc>
      </w:tr>
      <w:tr>
        <w:trPr>
          <w:cantSplit w:val="0"/>
          <w:tblHeader w:val="0"/>
        </w:trPr>
        <w:tc>
          <w:tcPr>
            <w:vAlign w:val="center"/>
          </w:tcPr>
          <w:p w:rsidR="00000000" w:rsidDel="00000000" w:rsidP="00000000" w:rsidRDefault="00000000" w:rsidRPr="00000000" w14:paraId="00000396">
            <w:pPr>
              <w:rPr/>
            </w:pPr>
            <w:r w:rsidDel="00000000" w:rsidR="00000000" w:rsidRPr="00000000">
              <w:rPr>
                <w:rtl w:val="0"/>
              </w:rPr>
              <w:t xml:space="preserve">Tid siden skade</w:t>
            </w:r>
          </w:p>
        </w:tc>
        <w:tc>
          <w:tcPr>
            <w:vAlign w:val="center"/>
          </w:tcPr>
          <w:p w:rsidR="00000000" w:rsidDel="00000000" w:rsidP="00000000" w:rsidRDefault="00000000" w:rsidRPr="00000000" w14:paraId="00000397">
            <w:pPr>
              <w:rPr/>
            </w:pPr>
            <w:r w:rsidDel="00000000" w:rsidR="00000000" w:rsidRPr="00000000">
              <w:rPr>
                <w:rtl w:val="0"/>
              </w:rPr>
              <w:t xml:space="preserve">0.445</w:t>
            </w:r>
          </w:p>
        </w:tc>
        <w:tc>
          <w:tcPr>
            <w:vAlign w:val="center"/>
          </w:tcPr>
          <w:p w:rsidR="00000000" w:rsidDel="00000000" w:rsidP="00000000" w:rsidRDefault="00000000" w:rsidRPr="00000000" w14:paraId="00000398">
            <w:pPr>
              <w:rPr/>
            </w:pPr>
            <w:r w:rsidDel="00000000" w:rsidR="00000000" w:rsidRPr="00000000">
              <w:rPr>
                <w:rtl w:val="0"/>
              </w:rPr>
              <w:t xml:space="preserve">0.372</w:t>
            </w:r>
          </w:p>
        </w:tc>
        <w:tc>
          <w:tcPr>
            <w:vAlign w:val="center"/>
          </w:tcPr>
          <w:p w:rsidR="00000000" w:rsidDel="00000000" w:rsidP="00000000" w:rsidRDefault="00000000" w:rsidRPr="00000000" w14:paraId="00000399">
            <w:pPr>
              <w:rPr/>
            </w:pPr>
            <w:r w:rsidDel="00000000" w:rsidR="00000000" w:rsidRPr="00000000">
              <w:rPr>
                <w:rtl w:val="0"/>
              </w:rPr>
              <w:t xml:space="preserve">0.367</w:t>
            </w:r>
          </w:p>
        </w:tc>
      </w:tr>
      <w:tr>
        <w:trPr>
          <w:cantSplit w:val="0"/>
          <w:tblHeader w:val="0"/>
        </w:trPr>
        <w:tc>
          <w:tcPr>
            <w:vAlign w:val="center"/>
          </w:tcPr>
          <w:p w:rsidR="00000000" w:rsidDel="00000000" w:rsidP="00000000" w:rsidRDefault="00000000" w:rsidRPr="00000000" w14:paraId="0000039A">
            <w:pPr>
              <w:rPr/>
            </w:pPr>
            <w:r w:rsidDel="00000000" w:rsidR="00000000" w:rsidRPr="00000000">
              <w:rPr>
                <w:rtl w:val="0"/>
              </w:rPr>
              <w:t xml:space="preserve">Kohorte (hjerneskade vs hjernerystelse)</w:t>
            </w:r>
          </w:p>
        </w:tc>
        <w:tc>
          <w:tcPr>
            <w:vAlign w:val="center"/>
          </w:tcPr>
          <w:p w:rsidR="00000000" w:rsidDel="00000000" w:rsidP="00000000" w:rsidRDefault="00000000" w:rsidRPr="00000000" w14:paraId="0000039B">
            <w:pPr>
              <w:rPr/>
            </w:pPr>
            <w:r w:rsidDel="00000000" w:rsidR="00000000" w:rsidRPr="00000000">
              <w:rPr>
                <w:rtl w:val="0"/>
              </w:rPr>
              <w:t xml:space="preserve">0.379</w:t>
            </w:r>
          </w:p>
        </w:tc>
        <w:tc>
          <w:tcPr>
            <w:vAlign w:val="center"/>
          </w:tcPr>
          <w:p w:rsidR="00000000" w:rsidDel="00000000" w:rsidP="00000000" w:rsidRDefault="00000000" w:rsidRPr="00000000" w14:paraId="0000039C">
            <w:pPr>
              <w:rPr/>
            </w:pPr>
            <w:r w:rsidDel="00000000" w:rsidR="00000000" w:rsidRPr="00000000">
              <w:rPr>
                <w:rtl w:val="0"/>
              </w:rPr>
              <w:t xml:space="preserve">NA</w:t>
            </w:r>
          </w:p>
        </w:tc>
        <w:tc>
          <w:tcPr>
            <w:vAlign w:val="center"/>
          </w:tcPr>
          <w:p w:rsidR="00000000" w:rsidDel="00000000" w:rsidP="00000000" w:rsidRDefault="00000000" w:rsidRPr="00000000" w14:paraId="0000039D">
            <w:pPr>
              <w:rPr/>
            </w:pPr>
            <w:r w:rsidDel="00000000" w:rsidR="00000000" w:rsidRPr="00000000">
              <w:rPr>
                <w:rtl w:val="0"/>
              </w:rPr>
              <w:t xml:space="preserve">0.324</w:t>
            </w:r>
          </w:p>
        </w:tc>
      </w:tr>
      <w:tr>
        <w:trPr>
          <w:cantSplit w:val="0"/>
          <w:tblHeader w:val="0"/>
        </w:trPr>
        <w:tc>
          <w:tcPr>
            <w:vAlign w:val="center"/>
          </w:tcPr>
          <w:p w:rsidR="00000000" w:rsidDel="00000000" w:rsidP="00000000" w:rsidRDefault="00000000" w:rsidRPr="00000000" w14:paraId="0000039E">
            <w:pPr>
              <w:rPr/>
            </w:pPr>
            <w:r w:rsidDel="00000000" w:rsidR="00000000" w:rsidRPr="00000000">
              <w:rPr>
                <w:rtl w:val="0"/>
              </w:rPr>
              <w:t xml:space="preserve">Før-behandling-score (sværhedsgrad)</w:t>
            </w:r>
          </w:p>
        </w:tc>
        <w:tc>
          <w:tcPr>
            <w:vAlign w:val="center"/>
          </w:tcPr>
          <w:p w:rsidR="00000000" w:rsidDel="00000000" w:rsidP="00000000" w:rsidRDefault="00000000" w:rsidRPr="00000000" w14:paraId="0000039F">
            <w:pPr>
              <w:rPr/>
            </w:pPr>
            <w:r w:rsidDel="00000000" w:rsidR="00000000" w:rsidRPr="00000000">
              <w:rPr>
                <w:rtl w:val="0"/>
              </w:rPr>
              <w:t xml:space="preserve">7.49e-05</w:t>
            </w:r>
          </w:p>
        </w:tc>
        <w:tc>
          <w:tcPr>
            <w:vAlign w:val="center"/>
          </w:tcPr>
          <w:p w:rsidR="00000000" w:rsidDel="00000000" w:rsidP="00000000" w:rsidRDefault="00000000" w:rsidRPr="00000000" w14:paraId="000003A0">
            <w:pPr>
              <w:rPr/>
            </w:pPr>
            <w:r w:rsidDel="00000000" w:rsidR="00000000" w:rsidRPr="00000000">
              <w:rPr>
                <w:rtl w:val="0"/>
              </w:rPr>
              <w:t xml:space="preserve">1.35e-04</w:t>
            </w:r>
          </w:p>
        </w:tc>
        <w:tc>
          <w:tcPr>
            <w:vAlign w:val="center"/>
          </w:tcPr>
          <w:p w:rsidR="00000000" w:rsidDel="00000000" w:rsidP="00000000" w:rsidRDefault="00000000" w:rsidRPr="00000000" w14:paraId="000003A1">
            <w:pPr>
              <w:rPr/>
            </w:pPr>
            <w:r w:rsidDel="00000000" w:rsidR="00000000" w:rsidRPr="00000000">
              <w:rPr>
                <w:rtl w:val="0"/>
              </w:rPr>
              <w:t xml:space="preserve">0.349</w:t>
            </w:r>
          </w:p>
        </w:tc>
      </w:tr>
    </w:tbl>
    <w:p w:rsidR="00000000" w:rsidDel="00000000" w:rsidP="00000000" w:rsidRDefault="00000000" w:rsidRPr="00000000" w14:paraId="000003A2">
      <w:pPr>
        <w:rPr/>
      </w:pPr>
      <w:r w:rsidDel="00000000" w:rsidR="00000000" w:rsidRPr="00000000">
        <w:rPr>
          <w:rtl w:val="0"/>
        </w:rPr>
        <w:t xml:space="preserve">† P-værdien for RT % ved 'Tid siden skade' er estimeret i den aktuelle RT-model baseret på evaluérbare RT-observationer (RT_før &gt; 0,30 s). Tid siden skade er beregnet som behandlingsdato minus skadesdato og indgår som kovariat i den aktuelle analyse.</w:t>
      </w:r>
    </w:p>
    <w:p w:rsidR="00000000" w:rsidDel="00000000" w:rsidP="00000000" w:rsidRDefault="00000000" w:rsidRPr="00000000" w14:paraId="000003A3">
      <w:pPr>
        <w:pStyle w:val="Heading2"/>
        <w:rPr/>
      </w:pPr>
      <w:r w:rsidDel="00000000" w:rsidR="00000000" w:rsidRPr="00000000">
        <w:rPr>
          <w:rtl w:val="0"/>
        </w:rPr>
        <w:t xml:space="preserve">Begrænsninger</w:t>
      </w:r>
    </w:p>
    <w:p w:rsidR="00000000" w:rsidDel="00000000" w:rsidP="00000000" w:rsidRDefault="00000000" w:rsidRPr="00000000" w14:paraId="000003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Ingen kontrolgruppe og kort opfølgning.</w:t>
      </w:r>
    </w:p>
    <w:p w:rsidR="00000000" w:rsidDel="00000000" w:rsidP="00000000" w:rsidRDefault="00000000" w:rsidRPr="00000000" w14:paraId="000003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Instrumentmodifikation (Modified FSS-9 1-6) begrænser direkte sammenlignelighed med standard FSS-litteratur.</w:t>
      </w:r>
    </w:p>
    <w:p w:rsidR="00000000" w:rsidDel="00000000" w:rsidP="00000000" w:rsidRDefault="00000000" w:rsidRPr="00000000" w14:paraId="000003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RT-datasæt rapporteres separat og er mere sårbart for fortolkningsproblemer, herunder gulveffekt, læringseffekt og små strata.</w:t>
      </w:r>
    </w:p>
    <w:p w:rsidR="00000000" w:rsidDel="00000000" w:rsidP="00000000" w:rsidRDefault="00000000" w:rsidRPr="00000000" w14:paraId="000003A7">
      <w:pPr>
        <w:pStyle w:val="Heading1"/>
        <w:rPr/>
      </w:pPr>
      <w:r w:rsidDel="00000000" w:rsidR="00000000" w:rsidRPr="00000000">
        <w:rPr>
          <w:rtl w:val="0"/>
        </w:rPr>
        <w:t xml:space="preserve">Konklusion</w:t>
      </w:r>
    </w:p>
    <w:p w:rsidR="00000000" w:rsidDel="00000000" w:rsidP="00000000" w:rsidRDefault="00000000" w:rsidRPr="00000000" w14:paraId="000003A8">
      <w:pPr>
        <w:rPr/>
      </w:pPr>
      <w:r w:rsidDel="00000000" w:rsidR="00000000" w:rsidRPr="00000000">
        <w:rPr>
          <w:rtl w:val="0"/>
        </w:rPr>
        <w:t xml:space="preserve">Det kliniske kvalitetsdatasæt fra RNC Skejby viser gennemgående før-/efter-ændringer i træthed, hovedpine og reaktionstid efter et standardiseret ReMind-/PSE-forløb. For træthed var responderandelen 77 % blandt 48 patienter med stroke/TBI og 65 % blandt 26 patienter med hjernerystelse; de deskriptive reduktioner i gennemsnitlig FSS-score svarede til henholdsvis 41,1 % og 38,9 %. For hovedpine blandt 27 patienter med hjernerystelse var responderandelen 81 % (22/27), og den gennemsnitlige VAS-score faldt med 64,5 %. For reaktionstid var 27 af 29 patienter med stroke/TBI og 16 af 21 patienter med hjernerystelse evaluérbare i den normaliserede %-analyse; responderandelene blandt evaluérbare var henholdsvis 78 % og 88 %, og den gennemsnitlige normaliserede forbedring var 29,0 % og 57,3 %. Når data læses gennem en neuroinflammation-først model, fremstår de som forenelige med en samlet arbejdshypotese, hvor vedvarende neuroimmune, neurovaskulære og fysiologiske processer kan bidrage til symptombelastning efter hjerneskade. Resultaterne bør fortsat forstås som hypotesegenererende observationer fra klinisk rutinepraksis og skal bekræftes i studier med kvantitative endepunkter, kontrolgruppe, længere opfølgning og formaliseret sikkerhedsopsamling.</w:t>
      </w:r>
    </w:p>
    <w:p w:rsidR="00000000" w:rsidDel="00000000" w:rsidP="00000000" w:rsidRDefault="00000000" w:rsidRPr="00000000" w14:paraId="000003A9">
      <w:pPr>
        <w:pStyle w:val="Heading1"/>
        <w:rPr/>
      </w:pPr>
      <w:r w:rsidDel="00000000" w:rsidR="00000000" w:rsidRPr="00000000">
        <w:rPr>
          <w:rtl w:val="0"/>
        </w:rPr>
        <w:t xml:space="preserve">Bilag A – Blodprøveliste (screening)</w:t>
      </w:r>
    </w:p>
    <w:p w:rsidR="00000000" w:rsidDel="00000000" w:rsidP="00000000" w:rsidRDefault="00000000" w:rsidRPr="00000000" w14:paraId="000003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Liste over de blodprøver som bestilles inden patienten kan godkendes. Lægen godkender blodprøverne inden der bestilles tid til lægekonsultation. Kan blodprøverne ikke godkendes, er det lægen som kontakter patienten.</w:t>
      </w:r>
    </w:p>
    <w:p w:rsidR="00000000" w:rsidDel="00000000" w:rsidP="00000000" w:rsidRDefault="00000000" w:rsidRPr="00000000" w14:paraId="000003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Blodprøverne må ikke være mere end 4 uger gamle på behandlingstidspunktet.</w:t>
      </w:r>
    </w:p>
    <w:p w:rsidR="00000000" w:rsidDel="00000000" w:rsidP="00000000" w:rsidRDefault="00000000" w:rsidRPr="00000000" w14:paraId="000003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p-Alanintransaminase [ALAT]</w:t>
      </w:r>
    </w:p>
    <w:p w:rsidR="00000000" w:rsidDel="00000000" w:rsidP="00000000" w:rsidRDefault="00000000" w:rsidRPr="00000000" w14:paraId="000003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p-Albumin</w:t>
      </w:r>
    </w:p>
    <w:p w:rsidR="00000000" w:rsidDel="00000000" w:rsidP="00000000" w:rsidRDefault="00000000" w:rsidRPr="00000000" w14:paraId="000003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p-Basisk fosfatase</w:t>
      </w:r>
    </w:p>
    <w:p w:rsidR="00000000" w:rsidDel="00000000" w:rsidP="00000000" w:rsidRDefault="00000000" w:rsidRPr="00000000" w14:paraId="000003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p-C-reaktivt protein [CRP]</w:t>
      </w:r>
    </w:p>
    <w:p w:rsidR="00000000" w:rsidDel="00000000" w:rsidP="00000000" w:rsidRDefault="00000000" w:rsidRPr="00000000" w14:paraId="000003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p-Hepatitis B-virus  c-Ab [Anti-HBc)</w:t>
      </w:r>
    </w:p>
    <w:p w:rsidR="00000000" w:rsidDel="00000000" w:rsidP="00000000" w:rsidRDefault="00000000" w:rsidRPr="00000000" w14:paraId="000003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p-Hepatitis B-virus s(Ag) [HBsAg]</w:t>
      </w:r>
    </w:p>
    <w:p w:rsidR="00000000" w:rsidDel="00000000" w:rsidP="00000000" w:rsidRDefault="00000000" w:rsidRPr="00000000" w14:paraId="000003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p-Hepatitis B-virus s-antistof</w:t>
      </w:r>
    </w:p>
    <w:p w:rsidR="00000000" w:rsidDel="00000000" w:rsidP="00000000" w:rsidRDefault="00000000" w:rsidRPr="00000000" w14:paraId="000003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p-Hepatitis C virus-Ab [HCV-Ab]</w:t>
      </w:r>
    </w:p>
    <w:p w:rsidR="00000000" w:rsidDel="00000000" w:rsidP="00000000" w:rsidRDefault="00000000" w:rsidRPr="00000000" w14:paraId="000003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B-Hæmoglobin</w:t>
      </w:r>
    </w:p>
    <w:p w:rsidR="00000000" w:rsidDel="00000000" w:rsidP="00000000" w:rsidRDefault="00000000" w:rsidRPr="00000000" w14:paraId="000003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p-Kreatinin</w:t>
      </w:r>
    </w:p>
    <w:p w:rsidR="00000000" w:rsidDel="00000000" w:rsidP="00000000" w:rsidRDefault="00000000" w:rsidRPr="00000000" w14:paraId="000003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B-leukocyttyper (differentialtælling)</w:t>
      </w:r>
    </w:p>
    <w:p w:rsidR="00000000" w:rsidDel="00000000" w:rsidP="00000000" w:rsidRDefault="00000000" w:rsidRPr="00000000" w14:paraId="000003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B-Trombocytter</w:t>
      </w:r>
    </w:p>
    <w:p w:rsidR="00000000" w:rsidDel="00000000" w:rsidP="00000000" w:rsidRDefault="00000000" w:rsidRPr="00000000" w14:paraId="000003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T-lymc-IFN-gamma-frig.(TB-rel.,gr.)</w:t>
      </w:r>
    </w:p>
    <w:p w:rsidR="00000000" w:rsidDel="00000000" w:rsidP="00000000" w:rsidRDefault="00000000" w:rsidRPr="00000000" w14:paraId="000003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HIV</w:t>
      </w:r>
    </w:p>
    <w:p w:rsidR="00000000" w:rsidDel="00000000" w:rsidP="00000000" w:rsidRDefault="00000000" w:rsidRPr="00000000" w14:paraId="000003BA">
      <w:pPr>
        <w:pStyle w:val="Heading1"/>
        <w:rPr/>
      </w:pPr>
      <w:r w:rsidDel="00000000" w:rsidR="00000000" w:rsidRPr="00000000">
        <w:rPr>
          <w:rtl w:val="0"/>
        </w:rPr>
        <w:t xml:space="preserve">Bilag B – Eksklusionskriterier</w:t>
      </w:r>
    </w:p>
    <w:p w:rsidR="00000000" w:rsidDel="00000000" w:rsidP="00000000" w:rsidRDefault="00000000" w:rsidRPr="00000000" w14:paraId="000003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Demens eller kognitiv hæmning forud for datoen for apopleksi eller traumatisk hjerneskade.</w:t>
      </w:r>
    </w:p>
    <w:p w:rsidR="00000000" w:rsidDel="00000000" w:rsidP="00000000" w:rsidRDefault="00000000" w:rsidRPr="00000000" w14:paraId="000003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Hjernestamme apopleksi (hvis dette er eneste punkt, kan der rådføres med læge).</w:t>
      </w:r>
    </w:p>
    <w:p w:rsidR="00000000" w:rsidDel="00000000" w:rsidP="00000000" w:rsidRDefault="00000000" w:rsidRPr="00000000" w14:paraId="000003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Mere end en apopleksi i løbet af de sidste 3 år.</w:t>
      </w:r>
    </w:p>
    <w:p w:rsidR="00000000" w:rsidDel="00000000" w:rsidP="00000000" w:rsidRDefault="00000000" w:rsidRPr="00000000" w14:paraId="000003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Parkinsons sygdom eller symptomer på Parkinsons.</w:t>
      </w:r>
    </w:p>
    <w:p w:rsidR="00000000" w:rsidDel="00000000" w:rsidP="00000000" w:rsidRDefault="00000000" w:rsidRPr="00000000" w14:paraId="000003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Lewy body demens.</w:t>
      </w:r>
    </w:p>
    <w:p w:rsidR="00000000" w:rsidDel="00000000" w:rsidP="00000000" w:rsidRDefault="00000000" w:rsidRPr="00000000" w14:paraId="000003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Multiple sklerose.</w:t>
      </w:r>
    </w:p>
    <w:p w:rsidR="00000000" w:rsidDel="00000000" w:rsidP="00000000" w:rsidRDefault="00000000" w:rsidRPr="00000000" w14:paraId="000003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Demyeliniserende sygdomme.</w:t>
      </w:r>
    </w:p>
    <w:p w:rsidR="00000000" w:rsidDel="00000000" w:rsidP="00000000" w:rsidRDefault="00000000" w:rsidRPr="00000000" w14:paraId="000003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eller aktiv tuberkulose.</w:t>
      </w:r>
    </w:p>
    <w:p w:rsidR="00000000" w:rsidDel="00000000" w:rsidP="00000000" w:rsidRDefault="00000000" w:rsidRPr="00000000" w14:paraId="000003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Positiv PPD – Positive tuberkulintest (Mantoux-test).</w:t>
      </w:r>
    </w:p>
    <w:p w:rsidR="00000000" w:rsidDel="00000000" w:rsidP="00000000" w:rsidRDefault="00000000" w:rsidRPr="00000000" w14:paraId="000003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HIV infektion.</w:t>
      </w:r>
    </w:p>
    <w:p w:rsidR="00000000" w:rsidDel="00000000" w:rsidP="00000000" w:rsidRDefault="00000000" w:rsidRPr="00000000" w14:paraId="000003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eller aktiv Hepatitis.</w:t>
      </w:r>
    </w:p>
    <w:p w:rsidR="00000000" w:rsidDel="00000000" w:rsidP="00000000" w:rsidRDefault="00000000" w:rsidRPr="00000000" w14:paraId="000003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eller aktiv invasiv svampe infektion (Coccidiomykose, histoplasmose, blastomykose).</w:t>
      </w:r>
    </w:p>
    <w:p w:rsidR="00000000" w:rsidDel="00000000" w:rsidP="00000000" w:rsidRDefault="00000000" w:rsidRPr="00000000" w14:paraId="000003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Aktiv infektion.</w:t>
      </w:r>
    </w:p>
    <w:p w:rsidR="00000000" w:rsidDel="00000000" w:rsidP="00000000" w:rsidRDefault="00000000" w:rsidRPr="00000000" w14:paraId="000003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Permanent urin kateter (KAD, Top-kateter, Nefrostomikateter).</w:t>
      </w:r>
    </w:p>
    <w:p w:rsidR="00000000" w:rsidDel="00000000" w:rsidP="00000000" w:rsidRDefault="00000000" w:rsidRPr="00000000" w14:paraId="000003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eller aktiv lymfom.</w:t>
      </w:r>
    </w:p>
    <w:p w:rsidR="00000000" w:rsidDel="00000000" w:rsidP="00000000" w:rsidRDefault="00000000" w:rsidRPr="00000000" w14:paraId="000003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Kræft – alle former.</w:t>
      </w:r>
    </w:p>
    <w:p w:rsidR="00000000" w:rsidDel="00000000" w:rsidP="00000000" w:rsidRDefault="00000000" w:rsidRPr="00000000" w14:paraId="000003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Ukontrolleret diabetes.</w:t>
      </w:r>
    </w:p>
    <w:p w:rsidR="00000000" w:rsidDel="00000000" w:rsidP="00000000" w:rsidRDefault="00000000" w:rsidRPr="00000000" w14:paraId="000003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Brug af immunsupprimerende medicin, herunder også Kineret (Anakinra) eller Abatacept eller glukokortikoider.</w:t>
      </w:r>
    </w:p>
    <w:p w:rsidR="00000000" w:rsidDel="00000000" w:rsidP="00000000" w:rsidRDefault="00000000" w:rsidRPr="00000000" w14:paraId="000003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brug af TNF hæmmere (Etanercept, infliximab osv.).</w:t>
      </w:r>
    </w:p>
    <w:p w:rsidR="00000000" w:rsidDel="00000000" w:rsidP="00000000" w:rsidRDefault="00000000" w:rsidRPr="00000000" w14:paraId="000003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Hjerteinsufficiens.</w:t>
      </w:r>
    </w:p>
    <w:p w:rsidR="00000000" w:rsidDel="00000000" w:rsidP="00000000" w:rsidRDefault="00000000" w:rsidRPr="00000000" w14:paraId="000003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Mindre end 2 måneder siden hospitalisering, uanset årsag.</w:t>
      </w:r>
    </w:p>
    <w:p w:rsidR="00000000" w:rsidDel="00000000" w:rsidP="00000000" w:rsidRDefault="00000000" w:rsidRPr="00000000" w14:paraId="000003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Graviditet</w:t>
      </w:r>
    </w:p>
    <w:p w:rsidR="00000000" w:rsidDel="00000000" w:rsidP="00000000" w:rsidRDefault="00000000" w:rsidRPr="00000000" w14:paraId="000003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Psykotisk eller brug af anti-psykotisk medicin (eks. olanzapine, quetiapine, clozapine, aripiprazole, haloperidol, flupenazine, risperidone, ziprasidone).</w:t>
      </w:r>
    </w:p>
    <w:p w:rsidR="00000000" w:rsidDel="00000000" w:rsidP="00000000" w:rsidRDefault="00000000" w:rsidRPr="00000000" w14:paraId="000003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alkohol misbrug.</w:t>
      </w:r>
    </w:p>
    <w:p w:rsidR="00000000" w:rsidDel="00000000" w:rsidP="00000000" w:rsidRDefault="00000000" w:rsidRPr="00000000" w14:paraId="000003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Autoimmun sygdom.</w:t>
      </w:r>
    </w:p>
    <w:p w:rsidR="00000000" w:rsidDel="00000000" w:rsidP="00000000" w:rsidRDefault="00000000" w:rsidRPr="00000000" w14:paraId="000003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Ikke egnede til ambulant konsultation.</w:t>
      </w:r>
    </w:p>
    <w:p w:rsidR="00000000" w:rsidDel="00000000" w:rsidP="00000000" w:rsidRDefault="00000000" w:rsidRPr="00000000" w14:paraId="000003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Tidligere opereret i nakken.</w:t>
      </w:r>
    </w:p>
    <w:p w:rsidR="00000000" w:rsidDel="00000000" w:rsidP="00000000" w:rsidRDefault="00000000" w:rsidRPr="00000000" w14:paraId="000003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Hvis patienten ikke tager antikoagulations behandling eller pladehæmmere.</w:t>
      </w:r>
    </w:p>
    <w:p w:rsidR="00000000" w:rsidDel="00000000" w:rsidP="00000000" w:rsidRDefault="00000000" w:rsidRPr="00000000" w14:paraId="000003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Hvis patientens afasi er så udtalt, at der ikke kan kommunikeres med dem. (Hvis patienten har en værge kan dette punkt udelades).</w:t>
      </w:r>
    </w:p>
    <w:p w:rsidR="00000000" w:rsidDel="00000000" w:rsidP="00000000" w:rsidRDefault="00000000" w:rsidRPr="00000000" w14:paraId="000003D8">
      <w:pPr>
        <w:pStyle w:val="Heading1"/>
        <w:rPr/>
      </w:pPr>
      <w:r w:rsidDel="00000000" w:rsidR="00000000" w:rsidRPr="00000000">
        <w:rPr>
          <w:rtl w:val="0"/>
        </w:rPr>
        <w:t xml:space="preserve">Bilag C – RT beregningsregler</w:t>
      </w:r>
    </w:p>
    <w:p w:rsidR="00000000" w:rsidDel="00000000" w:rsidP="00000000" w:rsidRDefault="00000000" w:rsidRPr="00000000" w14:paraId="000003D9">
      <w:pPr>
        <w:rPr/>
      </w:pPr>
      <w:r w:rsidDel="00000000" w:rsidR="00000000" w:rsidRPr="00000000">
        <w:rPr>
          <w:rtl w:val="0"/>
        </w:rPr>
        <w:t xml:space="preserve">Test: Extinction-test, 30 forsøg (10 højre, 10 venstre, 10 begge). Maksimalt 2 sekunder pr. forsøg. Manglende respons registreres som 2,0 sekunder. Systemet kan opgøre gennemsnitlig reaktionstid med og uden manglende respons; i dette datasæt anvendes 'med manglende respons' som primær RT-variabel og 'uden manglende respons' som sensitivitetsanalyse.</w:t>
      </w:r>
    </w:p>
    <w:p w:rsidR="00000000" w:rsidDel="00000000" w:rsidP="00000000" w:rsidRDefault="00000000" w:rsidRPr="00000000" w14:paraId="000003DA">
      <w:pPr>
        <w:rPr/>
      </w:pPr>
      <w:r w:rsidDel="00000000" w:rsidR="00000000" w:rsidRPr="00000000">
        <w:rPr>
          <w:rtl w:val="0"/>
        </w:rPr>
        <w:t xml:space="preserve">Gennemsnit pr. side: gennemsnitlig RT pr. side = sum(forsøg)/10.</w:t>
      </w:r>
    </w:p>
    <w:p w:rsidR="00000000" w:rsidDel="00000000" w:rsidP="00000000" w:rsidRDefault="00000000" w:rsidRPr="00000000" w14:paraId="000003DB">
      <w:pPr>
        <w:rPr/>
      </w:pPr>
      <w:r w:rsidDel="00000000" w:rsidR="00000000" w:rsidRPr="00000000">
        <w:rPr>
          <w:rtl w:val="0"/>
        </w:rPr>
        <w:t xml:space="preserve">Samlet gennemsnit: RT_total = (RT_højre + RT_venstre + RT_begge)/3.</w:t>
      </w:r>
    </w:p>
    <w:p w:rsidR="00000000" w:rsidDel="00000000" w:rsidP="00000000" w:rsidRDefault="00000000" w:rsidRPr="00000000" w14:paraId="000003DC">
      <w:pPr>
        <w:rPr/>
      </w:pPr>
      <w:r w:rsidDel="00000000" w:rsidR="00000000" w:rsidRPr="00000000">
        <w:rPr>
          <w:rtl w:val="0"/>
        </w:rPr>
        <w:t xml:space="preserve">Normaliseret % forbedring vs 0,30s: % = (RT_før − RT_efter)/(RT_før − 0,30) × 100.</w:t>
      </w:r>
    </w:p>
    <w:p w:rsidR="00000000" w:rsidDel="00000000" w:rsidP="00000000" w:rsidRDefault="00000000" w:rsidRPr="00000000" w14:paraId="000003DD">
      <w:pPr>
        <w:rPr/>
      </w:pPr>
      <w:r w:rsidDel="00000000" w:rsidR="00000000" w:rsidRPr="00000000">
        <w:rPr>
          <w:rtl w:val="0"/>
        </w:rPr>
        <w:t xml:space="preserve">Regel for randtilfælde: Hvis RT_før ≤ 0,30 s, ekskluderes patienten fra analysen af procentvis forbedring, men kan fortsat indgå i sekundære deskriptive analyser af sekunder.</w:t>
      </w:r>
    </w:p>
    <w:p w:rsidR="00000000" w:rsidDel="00000000" w:rsidP="00000000" w:rsidRDefault="00000000" w:rsidRPr="00000000" w14:paraId="000003DE">
      <w:pPr>
        <w:pStyle w:val="Heading1"/>
        <w:rPr/>
      </w:pPr>
      <w:r w:rsidDel="00000000" w:rsidR="00000000" w:rsidRPr="00000000">
        <w:rPr>
          <w:rtl w:val="0"/>
        </w:rPr>
        <w:t xml:space="preserve">Bilag D – Informeret samtykke (skabelon) – slagtilfælde/TBI</w:t>
      </w:r>
    </w:p>
    <w:p w:rsidR="00000000" w:rsidDel="00000000" w:rsidP="00000000" w:rsidRDefault="00000000" w:rsidRPr="00000000" w14:paraId="000003DF">
      <w:pPr>
        <w:rPr/>
      </w:pPr>
      <w:r w:rsidDel="00000000" w:rsidR="00000000" w:rsidRPr="00000000">
        <w:rPr>
          <w:rtl w:val="0"/>
        </w:rPr>
        <w:t xml:space="preserve">Skabelonuddrag (forkortet). Fuld skabelon findes i RNC’s interne dokumentbibliotek.</w:t>
      </w:r>
    </w:p>
    <w:p w:rsidR="00000000" w:rsidDel="00000000" w:rsidP="00000000" w:rsidRDefault="00000000" w:rsidRPr="00000000" w14:paraId="000003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Angiver frivilligt samtykke og mulighed for at trække samtykke tilbage.</w:t>
      </w:r>
    </w:p>
    <w:p w:rsidR="00000000" w:rsidDel="00000000" w:rsidP="00000000" w:rsidRDefault="00000000" w:rsidRPr="00000000" w14:paraId="000003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Angiver off-label karakter af etanercept ved neurologiske følger efter slagtilfælde/TBI.</w:t>
      </w:r>
    </w:p>
    <w:p w:rsidR="00000000" w:rsidDel="00000000" w:rsidP="00000000" w:rsidRDefault="00000000" w:rsidRPr="00000000" w14:paraId="000003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Oplistning af væsentlige risici (infektion/TB, demyeliniserende sygdom, hjertesvigt, malignitet m.v.) og relevante helbredsforhold.</w:t>
      </w:r>
    </w:p>
    <w:p w:rsidR="00000000" w:rsidDel="00000000" w:rsidP="00000000" w:rsidRDefault="00000000" w:rsidRPr="00000000" w14:paraId="000003E3">
      <w:pPr>
        <w:pStyle w:val="Heading1"/>
        <w:rPr/>
      </w:pPr>
      <w:r w:rsidDel="00000000" w:rsidR="00000000" w:rsidRPr="00000000">
        <w:rPr>
          <w:rtl w:val="0"/>
        </w:rPr>
        <w:t xml:space="preserve">Bilag E – Informeret samtykke (skabelon) – yderligere injektioner</w:t>
      </w:r>
    </w:p>
    <w:p w:rsidR="00000000" w:rsidDel="00000000" w:rsidP="00000000" w:rsidRDefault="00000000" w:rsidRPr="00000000" w14:paraId="000003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Angiver at yderligere injektion anmodes efter oplevet klinisk benefit.</w:t>
      </w:r>
    </w:p>
    <w:p w:rsidR="00000000" w:rsidDel="00000000" w:rsidP="00000000" w:rsidRDefault="00000000" w:rsidRPr="00000000" w14:paraId="000003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Angiver usikkerhed om effekt og fravær af garanti.</w:t>
      </w:r>
    </w:p>
    <w:p w:rsidR="00000000" w:rsidDel="00000000" w:rsidP="00000000" w:rsidRDefault="00000000" w:rsidRPr="00000000" w14:paraId="000003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Henviser til producentens indlægsseddel og generelle risici ved etanercept.</w:t>
      </w:r>
    </w:p>
    <w:p w:rsidR="00000000" w:rsidDel="00000000" w:rsidP="00000000" w:rsidRDefault="00000000" w:rsidRPr="00000000" w14:paraId="000003E7">
      <w:pPr>
        <w:pStyle w:val="Heading1"/>
        <w:rPr/>
      </w:pPr>
      <w:r w:rsidDel="00000000" w:rsidR="00000000" w:rsidRPr="00000000">
        <w:rPr>
          <w:rtl w:val="0"/>
        </w:rPr>
        <w:t xml:space="preserve">Bilag F – Instrument og effektstørrelse (teknisk note)</w:t>
      </w:r>
    </w:p>
    <w:p w:rsidR="00000000" w:rsidDel="00000000" w:rsidP="00000000" w:rsidRDefault="00000000" w:rsidRPr="00000000" w14:paraId="000003E8">
      <w:pPr>
        <w:pStyle w:val="Heading2"/>
        <w:rPr/>
      </w:pPr>
      <w:r w:rsidDel="00000000" w:rsidR="00000000" w:rsidRPr="00000000">
        <w:rPr>
          <w:rtl w:val="0"/>
        </w:rPr>
        <w:t xml:space="preserve">F1. Modified FSS-9 (1–6) – itemliste</w:t>
      </w:r>
    </w:p>
    <w:p w:rsidR="00000000" w:rsidDel="00000000" w:rsidP="00000000" w:rsidRDefault="00000000" w:rsidRPr="00000000" w14:paraId="000003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bliver hurtigt træt og udmattet</w:t>
      </w:r>
    </w:p>
    <w:p w:rsidR="00000000" w:rsidDel="00000000" w:rsidP="00000000" w:rsidRDefault="00000000" w:rsidRPr="00000000" w14:paraId="000003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foretager mig ikke særlig meget i løbet af dagen</w:t>
      </w:r>
    </w:p>
    <w:p w:rsidR="00000000" w:rsidDel="00000000" w:rsidP="00000000" w:rsidRDefault="00000000" w:rsidRPr="00000000" w14:paraId="000003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føler IKKE mit energiniveau er tilstrækkeligt</w:t>
      </w:r>
    </w:p>
    <w:p w:rsidR="00000000" w:rsidDel="00000000" w:rsidP="00000000" w:rsidRDefault="00000000" w:rsidRPr="00000000" w14:paraId="000003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føler mig fysisk udmattet</w:t>
      </w:r>
    </w:p>
    <w:p w:rsidR="00000000" w:rsidDel="00000000" w:rsidP="00000000" w:rsidRDefault="00000000" w:rsidRPr="00000000" w14:paraId="000003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har svært ved at sætte gøremål i gang</w:t>
      </w:r>
    </w:p>
    <w:p w:rsidR="00000000" w:rsidDel="00000000" w:rsidP="00000000" w:rsidRDefault="00000000" w:rsidRPr="00000000" w14:paraId="000003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føler ikke jeg kan tænke klart</w:t>
      </w:r>
    </w:p>
    <w:p w:rsidR="00000000" w:rsidDel="00000000" w:rsidP="00000000" w:rsidRDefault="00000000" w:rsidRPr="00000000" w14:paraId="000003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føler ikke jeg har lyst til at foretage mig noget</w:t>
      </w:r>
    </w:p>
    <w:p w:rsidR="00000000" w:rsidDel="00000000" w:rsidP="00000000" w:rsidRDefault="00000000" w:rsidRPr="00000000" w14:paraId="000003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føler mig mentalt træt og udmattet</w:t>
      </w:r>
    </w:p>
    <w:p w:rsidR="00000000" w:rsidDel="00000000" w:rsidP="00000000" w:rsidRDefault="00000000" w:rsidRPr="00000000" w14:paraId="000003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Jeg har svært ved at koncentrere mig</w:t>
      </w:r>
    </w:p>
    <w:p w:rsidR="00000000" w:rsidDel="00000000" w:rsidP="00000000" w:rsidRDefault="00000000" w:rsidRPr="00000000" w14:paraId="000003F2">
      <w:pPr>
        <w:pStyle w:val="Heading2"/>
        <w:rPr/>
      </w:pPr>
      <w:r w:rsidDel="00000000" w:rsidR="00000000" w:rsidRPr="00000000">
        <w:rPr>
          <w:rtl w:val="0"/>
        </w:rPr>
        <w:t xml:space="preserve">F2. Standardiseret ændring for parrede data – definition</w:t>
      </w:r>
    </w:p>
    <w:p w:rsidR="00000000" w:rsidDel="00000000" w:rsidP="00000000" w:rsidRDefault="00000000" w:rsidRPr="00000000" w14:paraId="000003F3">
      <w:pPr>
        <w:rPr/>
      </w:pPr>
      <w:r w:rsidDel="00000000" w:rsidR="00000000" w:rsidRPr="00000000">
        <w:rPr>
          <w:rtl w:val="0"/>
        </w:rPr>
        <w:t xml:space="preserve">I dette dossier anvendes standardiseret ændring for parrede data (ofte benævnt Cohen’s dz), defineret som: dz = middelværdi(ændring) / SD(ændring), hvor ændring = score før behandling minus score ved opfølgning for hver person. Denne definition adskiller sig fra Cohen’s d for uafhængige grupper og bør derfor angives eksplicit ved eksterne sammenligninger.</w:t>
      </w:r>
    </w:p>
    <w:p w:rsidR="00000000" w:rsidDel="00000000" w:rsidP="00000000" w:rsidRDefault="00000000" w:rsidRPr="00000000" w14:paraId="000003F4">
      <w:pPr>
        <w:pStyle w:val="Heading1"/>
        <w:rPr/>
      </w:pPr>
      <w:r w:rsidDel="00000000" w:rsidR="00000000" w:rsidRPr="00000000">
        <w:rPr>
          <w:rtl w:val="0"/>
        </w:rPr>
        <w:t xml:space="preserve">Referencer</w:t>
      </w:r>
    </w:p>
    <w:p w:rsidR="00000000" w:rsidDel="00000000" w:rsidP="00000000" w:rsidRDefault="00000000" w:rsidRPr="00000000" w14:paraId="000003F5">
      <w:pPr>
        <w:spacing w:after="40" w:line="240" w:lineRule="auto"/>
        <w:rPr/>
      </w:pPr>
      <w:r w:rsidDel="00000000" w:rsidR="00000000" w:rsidRPr="00000000">
        <w:rPr>
          <w:rFonts w:ascii="Aptos" w:cs="Aptos" w:eastAsia="Aptos" w:hAnsi="Aptos"/>
          <w:sz w:val="18"/>
          <w:szCs w:val="18"/>
          <w:rtl w:val="0"/>
        </w:rPr>
        <w:t xml:space="preserve">von Elm E, Altman DG, Egger M, Pocock SJ, Gøtzsche PC, Vandenbroucke JP; STROBE Initiative. The Strengthening the Reporting of Observational Studies in Epidemiology (STROBE) statement: guidelines for reporting observational studies. Prev Med. 2007;45(4):247-251. PMID: 17950122. https://www.strobe-statement.org/ ; checklist: https://www.equator-network.org/wp-content/uploads/2015/10/STROBE_checklist_v4_cohort.pdf</w:t>
      </w:r>
      <w:r w:rsidDel="00000000" w:rsidR="00000000" w:rsidRPr="00000000">
        <w:rPr>
          <w:rtl w:val="0"/>
        </w:rPr>
      </w:r>
    </w:p>
    <w:p w:rsidR="00000000" w:rsidDel="00000000" w:rsidP="00000000" w:rsidRDefault="00000000" w:rsidRPr="00000000" w14:paraId="000003F6">
      <w:pPr>
        <w:spacing w:after="40" w:line="240" w:lineRule="auto"/>
        <w:rPr/>
      </w:pPr>
      <w:r w:rsidDel="00000000" w:rsidR="00000000" w:rsidRPr="00000000">
        <w:rPr>
          <w:rFonts w:ascii="Aptos" w:cs="Aptos" w:eastAsia="Aptos" w:hAnsi="Aptos"/>
          <w:sz w:val="18"/>
          <w:szCs w:val="18"/>
          <w:rtl w:val="0"/>
        </w:rPr>
        <w:t xml:space="preserve">European Medicines Agency (EMA). Enbrel (etanercept) - EPAR. https://www.ema.europa.eu/en/medicines/human/EPAR/enbrel ; SmPC (produktinformation): https://www.ema.europa.eu/en/documents/product-information/enbrel-epar-product-information_en.pdf</w:t>
      </w:r>
      <w:r w:rsidDel="00000000" w:rsidR="00000000" w:rsidRPr="00000000">
        <w:rPr>
          <w:rtl w:val="0"/>
        </w:rPr>
      </w:r>
    </w:p>
    <w:p w:rsidR="00000000" w:rsidDel="00000000" w:rsidP="00000000" w:rsidRDefault="00000000" w:rsidRPr="00000000" w14:paraId="000003F7">
      <w:pPr>
        <w:spacing w:after="40" w:line="240" w:lineRule="auto"/>
        <w:rPr/>
      </w:pPr>
      <w:r w:rsidDel="00000000" w:rsidR="00000000" w:rsidRPr="00000000">
        <w:rPr>
          <w:rFonts w:ascii="Aptos" w:cs="Aptos" w:eastAsia="Aptos" w:hAnsi="Aptos"/>
          <w:sz w:val="18"/>
          <w:szCs w:val="18"/>
          <w:rtl w:val="0"/>
        </w:rPr>
        <w:t xml:space="preserve">Styrelsen for Patientsikkerhed (STPS). Journalføring (web). https://stps.dk/sundhedsfaglig/ansvar-og-retningslinjer/sundhedsfaglig-vejledning/journalfoering ; Vejledning om journalføring for almen praksis og speciallægepraksis (VEJ nr 10238 af 01/12/2025): https://www.retsinformation.dk/api/pdf/254138</w:t>
      </w:r>
      <w:r w:rsidDel="00000000" w:rsidR="00000000" w:rsidRPr="00000000">
        <w:rPr>
          <w:rtl w:val="0"/>
        </w:rPr>
      </w:r>
    </w:p>
    <w:p w:rsidR="00000000" w:rsidDel="00000000" w:rsidP="00000000" w:rsidRDefault="00000000" w:rsidRPr="00000000" w14:paraId="000003F8">
      <w:pPr>
        <w:spacing w:after="40" w:line="240" w:lineRule="auto"/>
        <w:rPr/>
      </w:pPr>
      <w:r w:rsidDel="00000000" w:rsidR="00000000" w:rsidRPr="00000000">
        <w:rPr>
          <w:rFonts w:ascii="Aptos" w:cs="Aptos" w:eastAsia="Aptos" w:hAnsi="Aptos"/>
          <w:sz w:val="18"/>
          <w:szCs w:val="18"/>
          <w:rtl w:val="0"/>
        </w:rPr>
        <w:t xml:space="preserve">Simon DW, McGeachy MJ, Bayir H, Clark RSB, Loane DJ, Kochanek PM. The far-reaching scope of neuroinflammation after traumatic brain injury. Nat Rev Neurol. 2017;13(3):171-191. PMID: 28186177. PMCID: PMC5675525. https://pubmed.ncbi.nlm.nih.gov/28186177/ ; full text: https://pmc.ncbi.nlm.nih.gov/articles/PMC5675525/ ; DOI: https://doi.org/10.1038/nrneurol.2017.13</w:t>
      </w:r>
      <w:r w:rsidDel="00000000" w:rsidR="00000000" w:rsidRPr="00000000">
        <w:rPr>
          <w:rtl w:val="0"/>
        </w:rPr>
      </w:r>
    </w:p>
    <w:p w:rsidR="00000000" w:rsidDel="00000000" w:rsidP="00000000" w:rsidRDefault="00000000" w:rsidRPr="00000000" w14:paraId="000003F9">
      <w:pPr>
        <w:spacing w:after="40" w:line="240" w:lineRule="auto"/>
        <w:rPr/>
      </w:pPr>
      <w:r w:rsidDel="00000000" w:rsidR="00000000" w:rsidRPr="00000000">
        <w:rPr>
          <w:rFonts w:ascii="Aptos" w:cs="Aptos" w:eastAsia="Aptos" w:hAnsi="Aptos"/>
          <w:sz w:val="18"/>
          <w:szCs w:val="18"/>
          <w:rtl w:val="0"/>
        </w:rPr>
        <w:t xml:space="preserve">Hammond TR, Marsh SE, Stevens B. Immune Signaling in Neurodegeneration. Immunity. 2019;50(4):955-974. PMID: 30995509. PMCID: PMC6822103. https://pubmed.ncbi.nlm.nih.gov/30995509/ ; full text: https://pmc.ncbi.nlm.nih.gov/articles/PMC6822103/ ; DOI: https://doi.org/10.1016/j.immuni.2019.03.016</w:t>
      </w:r>
      <w:r w:rsidDel="00000000" w:rsidR="00000000" w:rsidRPr="00000000">
        <w:rPr>
          <w:rtl w:val="0"/>
        </w:rPr>
      </w:r>
    </w:p>
    <w:p w:rsidR="00000000" w:rsidDel="00000000" w:rsidP="00000000" w:rsidRDefault="00000000" w:rsidRPr="00000000" w14:paraId="000003FA">
      <w:pPr>
        <w:spacing w:after="40" w:line="240" w:lineRule="auto"/>
        <w:rPr/>
      </w:pPr>
      <w:r w:rsidDel="00000000" w:rsidR="00000000" w:rsidRPr="00000000">
        <w:rPr>
          <w:rFonts w:ascii="Aptos" w:cs="Aptos" w:eastAsia="Aptos" w:hAnsi="Aptos"/>
          <w:sz w:val="18"/>
          <w:szCs w:val="18"/>
          <w:rtl w:val="0"/>
        </w:rPr>
        <w:t xml:space="preserve">Candelario-Jalil E, Dijkhuizen RM, Magnus T. Neuroinflammation, Stroke, Blood-Brain Barrier Dysfunction, and Imaging Modalities. Stroke. 2022;53(5):1473-1486. PMID: 35387495. PMCID: PMC9038693. https://pubmed.ncbi.nlm.nih.gov/35387495/ ; full text: https://pmc.ncbi.nlm.nih.gov/articles/PMC9038693/ ; DOI: https://doi.org/10.1161/STROKEAHA.122.036946</w:t>
      </w:r>
      <w:r w:rsidDel="00000000" w:rsidR="00000000" w:rsidRPr="00000000">
        <w:rPr>
          <w:rtl w:val="0"/>
        </w:rPr>
      </w:r>
    </w:p>
    <w:p w:rsidR="00000000" w:rsidDel="00000000" w:rsidP="00000000" w:rsidRDefault="00000000" w:rsidRPr="00000000" w14:paraId="000003FB">
      <w:pPr>
        <w:spacing w:after="40" w:line="240" w:lineRule="auto"/>
        <w:rPr/>
      </w:pPr>
      <w:r w:rsidDel="00000000" w:rsidR="00000000" w:rsidRPr="00000000">
        <w:rPr>
          <w:rFonts w:ascii="Aptos" w:cs="Aptos" w:eastAsia="Aptos" w:hAnsi="Aptos"/>
          <w:sz w:val="18"/>
          <w:szCs w:val="18"/>
          <w:rtl w:val="0"/>
        </w:rPr>
        <w:t xml:space="preserve">Koyama R, Shichita T. Glial roles in sterile inflammation after ischemic stroke. Neurosci Res. 2023;188:1-9. PMID: 36206952. https://pubmed.ncbi.nlm.nih.gov/36206952/ ; DOI: https://doi.org/10.1016/j.neures.2022.10.002</w:t>
      </w:r>
      <w:r w:rsidDel="00000000" w:rsidR="00000000" w:rsidRPr="00000000">
        <w:rPr>
          <w:rtl w:val="0"/>
        </w:rPr>
      </w:r>
    </w:p>
    <w:p w:rsidR="00000000" w:rsidDel="00000000" w:rsidP="00000000" w:rsidRDefault="00000000" w:rsidRPr="00000000" w14:paraId="000003FC">
      <w:pPr>
        <w:spacing w:after="40" w:line="240" w:lineRule="auto"/>
        <w:rPr/>
      </w:pPr>
      <w:r w:rsidDel="00000000" w:rsidR="00000000" w:rsidRPr="00000000">
        <w:rPr>
          <w:rFonts w:ascii="Aptos" w:cs="Aptos" w:eastAsia="Aptos" w:hAnsi="Aptos"/>
          <w:sz w:val="18"/>
          <w:szCs w:val="18"/>
          <w:rtl w:val="0"/>
        </w:rPr>
        <w:t xml:space="preserve">Lambertsen KL, Finsen B, Clausen BH. Post-stroke inflammation-target or tool for therapy? Acta Neuropathol. 2019;137(5):693-714. PMID: 30483945. PMCID: PMC6482288. https://pubmed.ncbi.nlm.nih.gov/30483945/ ; full text: https://pmc.ncbi.nlm.nih.gov/articles/PMC6482288/ ; DOI: https://doi.org/10.1007/s00401-018-1930-z</w:t>
      </w:r>
      <w:r w:rsidDel="00000000" w:rsidR="00000000" w:rsidRPr="00000000">
        <w:rPr>
          <w:rtl w:val="0"/>
        </w:rPr>
      </w:r>
    </w:p>
    <w:p w:rsidR="00000000" w:rsidDel="00000000" w:rsidP="00000000" w:rsidRDefault="00000000" w:rsidRPr="00000000" w14:paraId="000003FD">
      <w:pPr>
        <w:spacing w:after="40" w:line="240" w:lineRule="auto"/>
        <w:rPr/>
      </w:pPr>
      <w:r w:rsidDel="00000000" w:rsidR="00000000" w:rsidRPr="00000000">
        <w:rPr>
          <w:rFonts w:ascii="Aptos" w:cs="Aptos" w:eastAsia="Aptos" w:hAnsi="Aptos"/>
          <w:sz w:val="18"/>
          <w:szCs w:val="18"/>
          <w:rtl w:val="0"/>
        </w:rPr>
        <w:t xml:space="preserve">Kumari S, Dhapola R, Sharma P, Nagar P, Medhi B, HariKrishnaReddy D. The impact of cytokines in neuroinflammation-mediated stroke. Cytokine Growth Factor Rev. 2024;78:105-119. PMID: 39004599. https://pubmed.ncbi.nlm.nih.gov/39004599/ ; DOI: https://doi.org/10.1016/j.cytogfr.2024.06.002</w:t>
      </w:r>
      <w:r w:rsidDel="00000000" w:rsidR="00000000" w:rsidRPr="00000000">
        <w:rPr>
          <w:rtl w:val="0"/>
        </w:rPr>
      </w:r>
    </w:p>
    <w:p w:rsidR="00000000" w:rsidDel="00000000" w:rsidP="00000000" w:rsidRDefault="00000000" w:rsidRPr="00000000" w14:paraId="000003FE">
      <w:pPr>
        <w:spacing w:after="40" w:line="240" w:lineRule="auto"/>
        <w:rPr/>
      </w:pPr>
      <w:r w:rsidDel="00000000" w:rsidR="00000000" w:rsidRPr="00000000">
        <w:rPr>
          <w:rFonts w:ascii="Aptos" w:cs="Aptos" w:eastAsia="Aptos" w:hAnsi="Aptos"/>
          <w:sz w:val="18"/>
          <w:szCs w:val="18"/>
          <w:rtl w:val="0"/>
        </w:rPr>
        <w:t xml:space="preserve">Xiong Y, Mahmood A, Chopp M. Current understanding of neuroinflammation after traumatic brain injury, and cell-based therapeutic opportunities. Chin J Traumatol. 2018;21(3):137-151. PMID: 29764704. PMCID: PMC6034172. https://pubmed.ncbi.nlm.nih.gov/29764704/ ; full text: https://pmc.ncbi.nlm.nih.gov/articles/PMC6034172/ ; DOI: https://doi.org/10.1016/j.cjtee.2018.02.003</w:t>
      </w:r>
      <w:r w:rsidDel="00000000" w:rsidR="00000000" w:rsidRPr="00000000">
        <w:rPr>
          <w:rtl w:val="0"/>
        </w:rPr>
      </w:r>
    </w:p>
    <w:p w:rsidR="00000000" w:rsidDel="00000000" w:rsidP="00000000" w:rsidRDefault="00000000" w:rsidRPr="00000000" w14:paraId="000003FF">
      <w:pPr>
        <w:spacing w:after="40" w:line="240" w:lineRule="auto"/>
        <w:rPr/>
      </w:pPr>
      <w:r w:rsidDel="00000000" w:rsidR="00000000" w:rsidRPr="00000000">
        <w:rPr>
          <w:rFonts w:ascii="Aptos" w:cs="Aptos" w:eastAsia="Aptos" w:hAnsi="Aptos"/>
          <w:sz w:val="18"/>
          <w:szCs w:val="18"/>
          <w:rtl w:val="0"/>
        </w:rPr>
        <w:t xml:space="preserve">Theus MH. Neuroinflammation and acquired traumatic CNS injury: a mini review. Front Neurol. 2024;15:1334847. PMID: 38450073. PMCID: PMC10915049. https://pubmed.ncbi.nlm.nih.gov/38450073/ ; full text: https://pmc.ncbi.nlm.nih.gov/articles/PMC10915049/ ; DOI: https://doi.org/10.3389/fneur.2024.1334847</w:t>
      </w:r>
      <w:r w:rsidDel="00000000" w:rsidR="00000000" w:rsidRPr="00000000">
        <w:rPr>
          <w:rtl w:val="0"/>
        </w:rPr>
      </w:r>
    </w:p>
    <w:p w:rsidR="00000000" w:rsidDel="00000000" w:rsidP="00000000" w:rsidRDefault="00000000" w:rsidRPr="00000000" w14:paraId="00000400">
      <w:pPr>
        <w:spacing w:after="40" w:line="240" w:lineRule="auto"/>
        <w:rPr/>
      </w:pPr>
      <w:r w:rsidDel="00000000" w:rsidR="00000000" w:rsidRPr="00000000">
        <w:rPr>
          <w:rFonts w:ascii="Aptos" w:cs="Aptos" w:eastAsia="Aptos" w:hAnsi="Aptos"/>
          <w:sz w:val="18"/>
          <w:szCs w:val="18"/>
          <w:rtl w:val="0"/>
        </w:rPr>
        <w:t xml:space="preserve">Mavroudis I, Ciobica A, Balmus IM, Burlui V, Romila L, Iordache A, et al. A Systematic Review and Meta-Analysis of the Inflammatory Biomarkers in Mild Traumatic Brain Injury. Biomedicines. 2024;12(2):293. PMID: 38397895. PMCID: PMC10887204. https://pubmed.ncbi.nlm.nih.gov/38397895/ ; full text: https://pmc.ncbi.nlm.nih.gov/articles/PMC10887204/ ; DOI: https://doi.org/10.3390/biomedicines12020293</w:t>
      </w:r>
      <w:r w:rsidDel="00000000" w:rsidR="00000000" w:rsidRPr="00000000">
        <w:rPr>
          <w:rtl w:val="0"/>
        </w:rPr>
      </w:r>
    </w:p>
    <w:p w:rsidR="00000000" w:rsidDel="00000000" w:rsidP="00000000" w:rsidRDefault="00000000" w:rsidRPr="00000000" w14:paraId="00000401">
      <w:pPr>
        <w:spacing w:after="40" w:line="240" w:lineRule="auto"/>
        <w:rPr/>
      </w:pPr>
      <w:r w:rsidDel="00000000" w:rsidR="00000000" w:rsidRPr="00000000">
        <w:rPr>
          <w:rFonts w:ascii="Aptos" w:cs="Aptos" w:eastAsia="Aptos" w:hAnsi="Aptos"/>
          <w:sz w:val="18"/>
          <w:szCs w:val="18"/>
          <w:rtl w:val="0"/>
        </w:rPr>
        <w:t xml:space="preserve">Friberg S, Lindblad C, Zeiler FA, Zetterberg H, Granberg T, Svenningsson P, Piehl F. Fluid biomarkers of chronic traumatic brain injury. Nat Rev Neurol. 2024;20(11):671-684. PMID: 39363129. https://pubmed.ncbi.nlm.nih.gov/39363129/ ; DOI: https://doi.org/10.1038/s41582-024-01024-z</w:t>
      </w:r>
      <w:r w:rsidDel="00000000" w:rsidR="00000000" w:rsidRPr="00000000">
        <w:rPr>
          <w:rtl w:val="0"/>
        </w:rPr>
      </w:r>
    </w:p>
    <w:p w:rsidR="00000000" w:rsidDel="00000000" w:rsidP="00000000" w:rsidRDefault="00000000" w:rsidRPr="00000000" w14:paraId="00000402">
      <w:pPr>
        <w:spacing w:after="40" w:line="240" w:lineRule="auto"/>
        <w:rPr/>
      </w:pPr>
      <w:r w:rsidDel="00000000" w:rsidR="00000000" w:rsidRPr="00000000">
        <w:rPr>
          <w:rFonts w:ascii="Aptos" w:cs="Aptos" w:eastAsia="Aptos" w:hAnsi="Aptos"/>
          <w:sz w:val="18"/>
          <w:szCs w:val="18"/>
          <w:rtl w:val="0"/>
        </w:rPr>
        <w:t xml:space="preserve">Clausen M, Pendergast DR, Willer B, Leddy JJ. Cerebral Blood Flow During Treadmill Exercise Is a Marker of Physiological Postconcussion Syndrome in Female Athletes. J Head Trauma Rehabil. 2016;31(3):215-224. PMID: 26098254. https://pubmed.ncbi.nlm.nih.gov/26098254/ ; DOI: https://doi.org/10.1097/HTR.0000000000000145</w:t>
      </w:r>
      <w:r w:rsidDel="00000000" w:rsidR="00000000" w:rsidRPr="00000000">
        <w:rPr>
          <w:rtl w:val="0"/>
        </w:rPr>
      </w:r>
    </w:p>
    <w:p w:rsidR="00000000" w:rsidDel="00000000" w:rsidP="00000000" w:rsidRDefault="00000000" w:rsidRPr="00000000" w14:paraId="00000403">
      <w:pPr>
        <w:spacing w:after="40" w:line="240" w:lineRule="auto"/>
        <w:rPr/>
      </w:pPr>
      <w:r w:rsidDel="00000000" w:rsidR="00000000" w:rsidRPr="00000000">
        <w:rPr>
          <w:rFonts w:ascii="Aptos" w:cs="Aptos" w:eastAsia="Aptos" w:hAnsi="Aptos"/>
          <w:sz w:val="18"/>
          <w:szCs w:val="18"/>
          <w:rtl w:val="0"/>
        </w:rPr>
        <w:t xml:space="preserve">Leddy JJ, Haider MN, Ellis M, Willer BS. Exercise is Medicine for Concussion. Curr Sports Med Rep. 2018;17(8):262-270. PMID: 30095546. PMCID: PMC6089233. https://pubmed.ncbi.nlm.nih.gov/30095546/ ; full text: https://pmc.ncbi.nlm.nih.gov/articles/PMC6089233/ ; DOI: https://doi.org/10.1249/JSR.0000000000000505</w:t>
      </w:r>
      <w:r w:rsidDel="00000000" w:rsidR="00000000" w:rsidRPr="00000000">
        <w:rPr>
          <w:rtl w:val="0"/>
        </w:rPr>
      </w:r>
    </w:p>
    <w:p w:rsidR="00000000" w:rsidDel="00000000" w:rsidP="00000000" w:rsidRDefault="00000000" w:rsidRPr="00000000" w14:paraId="00000404">
      <w:pPr>
        <w:spacing w:after="40" w:line="240" w:lineRule="auto"/>
        <w:rPr/>
      </w:pPr>
      <w:r w:rsidDel="00000000" w:rsidR="00000000" w:rsidRPr="00000000">
        <w:rPr>
          <w:rFonts w:ascii="Aptos" w:cs="Aptos" w:eastAsia="Aptos" w:hAnsi="Aptos"/>
          <w:sz w:val="18"/>
          <w:szCs w:val="18"/>
          <w:rtl w:val="0"/>
        </w:rPr>
        <w:t xml:space="preserve">Ellis MJ, Leddy JJ, Cordingley D, Willer B. A physiological approach to assessment and rehabilitation of acute concussion in collegiate and professional athletes. Front Neurol. 2018;9:1115. PMID: 30619068. PMCID: PMC6306465. https://pubmed.ncbi.nlm.nih.gov/30619068/ ; full text: https://pmc.ncbi.nlm.nih.gov/articles/PMC6306465/ ; DOI: https://doi.org/10.3389/fneur.2018.01115</w:t>
      </w:r>
      <w:r w:rsidDel="00000000" w:rsidR="00000000" w:rsidRPr="00000000">
        <w:rPr>
          <w:rtl w:val="0"/>
        </w:rPr>
      </w:r>
    </w:p>
    <w:p w:rsidR="00000000" w:rsidDel="00000000" w:rsidP="00000000" w:rsidRDefault="00000000" w:rsidRPr="00000000" w14:paraId="00000405">
      <w:pPr>
        <w:spacing w:after="40" w:line="240" w:lineRule="auto"/>
        <w:rPr/>
      </w:pPr>
      <w:r w:rsidDel="00000000" w:rsidR="00000000" w:rsidRPr="00000000">
        <w:rPr>
          <w:rFonts w:ascii="Aptos" w:cs="Aptos" w:eastAsia="Aptos" w:hAnsi="Aptos"/>
          <w:sz w:val="18"/>
          <w:szCs w:val="18"/>
          <w:rtl w:val="0"/>
        </w:rPr>
        <w:t xml:space="preserve">Leddy JJ, Burma JS, Toomey CM, et al. Rest and exercise early after sport-related concussion: a systematic review and meta-analysis. Br J Sports Med. 2023;57(12):762-770. PMID: 37316185. https://pubmed.ncbi.nlm.nih.gov/37316185/ ; DOI: https://doi.org/10.1136/bjsports-2022-106676</w:t>
      </w:r>
      <w:r w:rsidDel="00000000" w:rsidR="00000000" w:rsidRPr="00000000">
        <w:rPr>
          <w:rtl w:val="0"/>
        </w:rPr>
      </w:r>
    </w:p>
    <w:p w:rsidR="00000000" w:rsidDel="00000000" w:rsidP="00000000" w:rsidRDefault="00000000" w:rsidRPr="00000000" w14:paraId="00000406">
      <w:pPr>
        <w:spacing w:after="40" w:line="240" w:lineRule="auto"/>
        <w:rPr/>
      </w:pPr>
      <w:r w:rsidDel="00000000" w:rsidR="00000000" w:rsidRPr="00000000">
        <w:rPr>
          <w:rFonts w:ascii="Aptos" w:cs="Aptos" w:eastAsia="Aptos" w:hAnsi="Aptos"/>
          <w:sz w:val="18"/>
          <w:szCs w:val="18"/>
          <w:rtl w:val="0"/>
        </w:rPr>
        <w:t xml:space="preserve">Patricios JS, Schneider KJ, Dvorak J, et al. Consensus statement on concussion in sport: the 6th International Conference on Concussion in Sport - Amsterdam, October 2022. Br J Sports Med. 2023;57(11):695-711. PMID: 37316210. https://pubmed.ncbi.nlm.nih.gov/37316210/ ; DOI: https://doi.org/10.1136/bjsports-2023-106898</w:t>
      </w:r>
      <w:r w:rsidDel="00000000" w:rsidR="00000000" w:rsidRPr="00000000">
        <w:rPr>
          <w:rtl w:val="0"/>
        </w:rPr>
      </w:r>
    </w:p>
    <w:p w:rsidR="00000000" w:rsidDel="00000000" w:rsidP="00000000" w:rsidRDefault="00000000" w:rsidRPr="00000000" w14:paraId="00000407">
      <w:pPr>
        <w:spacing w:after="40" w:line="240" w:lineRule="auto"/>
        <w:rPr/>
      </w:pPr>
      <w:r w:rsidDel="00000000" w:rsidR="00000000" w:rsidRPr="00000000">
        <w:rPr>
          <w:rFonts w:ascii="Aptos" w:cs="Aptos" w:eastAsia="Aptos" w:hAnsi="Aptos"/>
          <w:sz w:val="18"/>
          <w:szCs w:val="18"/>
          <w:rtl w:val="0"/>
        </w:rPr>
        <w:t xml:space="preserve">Leddy JJ. Sport-Related Concussion. N Engl J Med. 2025;392(5):483-493. PMID: 39879594. https://pubmed.ncbi.nlm.nih.gov/39879594/ ; DOI: https://doi.org/10.1056/NEJMcp2400691</w:t>
      </w:r>
      <w:r w:rsidDel="00000000" w:rsidR="00000000" w:rsidRPr="00000000">
        <w:rPr>
          <w:rtl w:val="0"/>
        </w:rPr>
      </w:r>
    </w:p>
    <w:p w:rsidR="00000000" w:rsidDel="00000000" w:rsidP="00000000" w:rsidRDefault="00000000" w:rsidRPr="00000000" w14:paraId="00000408">
      <w:pPr>
        <w:spacing w:after="40" w:line="240" w:lineRule="auto"/>
        <w:rPr/>
      </w:pPr>
      <w:r w:rsidDel="00000000" w:rsidR="00000000" w:rsidRPr="00000000">
        <w:rPr>
          <w:rFonts w:ascii="Aptos" w:cs="Aptos" w:eastAsia="Aptos" w:hAnsi="Aptos"/>
          <w:sz w:val="18"/>
          <w:szCs w:val="18"/>
          <w:rtl w:val="0"/>
        </w:rPr>
        <w:t xml:space="preserve">Rathbone ATL, Tharmaradinam S, Jiang S, Rathbone MP, Kumbhare DA. A review of the neuro- and systemic inflammatory responses in post concussion symptoms: Introduction of the post-inflammatory brain syndrome (PIBS). Brain Behav Immun. 2015;46:1-16. PMID: 25736063. https://pubmed.ncbi.nlm.nih.gov/25736063/ ; DOI: https://doi.org/10.1016/j.bbi.2015.02.009</w:t>
      </w:r>
      <w:r w:rsidDel="00000000" w:rsidR="00000000" w:rsidRPr="00000000">
        <w:rPr>
          <w:rtl w:val="0"/>
        </w:rPr>
      </w:r>
    </w:p>
    <w:p w:rsidR="00000000" w:rsidDel="00000000" w:rsidP="00000000" w:rsidRDefault="00000000" w:rsidRPr="00000000" w14:paraId="00000409">
      <w:pPr>
        <w:spacing w:after="40" w:line="240" w:lineRule="auto"/>
        <w:rPr/>
      </w:pPr>
      <w:r w:rsidDel="00000000" w:rsidR="00000000" w:rsidRPr="00000000">
        <w:rPr>
          <w:rFonts w:ascii="Aptos" w:cs="Aptos" w:eastAsia="Aptos" w:hAnsi="Aptos"/>
          <w:sz w:val="18"/>
          <w:szCs w:val="18"/>
          <w:rtl w:val="0"/>
        </w:rPr>
        <w:t xml:space="preserve">Clark IA, Vissel B. A Neurologist's Guide to TNF Biology and to the Principles Behind the Therapeutic Removal of Excess TNF in Disease. Neural Plast. 2015;2015:358263. PMID: 26221543. PMCID: PMC4510439. https://pubmed.ncbi.nlm.nih.gov/26221543/ ; full text: https://pmc.ncbi.nlm.nih.gov/articles/PMC4510439/ ; DOI: https://doi.org/10.1155/2015/358263</w:t>
      </w:r>
      <w:r w:rsidDel="00000000" w:rsidR="00000000" w:rsidRPr="00000000">
        <w:rPr>
          <w:rtl w:val="0"/>
        </w:rPr>
      </w:r>
    </w:p>
    <w:p w:rsidR="00000000" w:rsidDel="00000000" w:rsidP="00000000" w:rsidRDefault="00000000" w:rsidRPr="00000000" w14:paraId="0000040A">
      <w:pPr>
        <w:spacing w:after="40" w:line="240" w:lineRule="auto"/>
        <w:rPr/>
      </w:pPr>
      <w:r w:rsidDel="00000000" w:rsidR="00000000" w:rsidRPr="00000000">
        <w:rPr>
          <w:rFonts w:ascii="Aptos" w:cs="Aptos" w:eastAsia="Aptos" w:hAnsi="Aptos"/>
          <w:sz w:val="18"/>
          <w:szCs w:val="18"/>
          <w:rtl w:val="0"/>
        </w:rPr>
        <w:t xml:space="preserve">Clark IA, Vissel B. Excess cerebral TNF causing glutamate excitotoxicity rationalizes treatment of neurodegenerative diseases and neurogenic pain by anti-TNF agents. J Neuroinflammation. 2016;13(1):236. PMID: 27596607. PMCID: PMC5011997. https://pubmed.ncbi.nlm.nih.gov/27596607/ ; full text: https://pmc.ncbi.nlm.nih.gov/articles/PMC5011997/ ; DOI: https://doi.org/10.1186/s12974-016-0708-2</w:t>
      </w:r>
      <w:r w:rsidDel="00000000" w:rsidR="00000000" w:rsidRPr="00000000">
        <w:rPr>
          <w:rtl w:val="0"/>
        </w:rPr>
      </w:r>
    </w:p>
    <w:p w:rsidR="00000000" w:rsidDel="00000000" w:rsidP="00000000" w:rsidRDefault="00000000" w:rsidRPr="00000000" w14:paraId="0000040B">
      <w:pPr>
        <w:spacing w:after="40" w:line="240" w:lineRule="auto"/>
        <w:rPr/>
      </w:pPr>
      <w:r w:rsidDel="00000000" w:rsidR="00000000" w:rsidRPr="00000000">
        <w:rPr>
          <w:rFonts w:ascii="Aptos" w:cs="Aptos" w:eastAsia="Aptos" w:hAnsi="Aptos"/>
          <w:sz w:val="18"/>
          <w:szCs w:val="18"/>
          <w:rtl w:val="0"/>
        </w:rPr>
        <w:t xml:space="preserve">Tuttolomondo A, Pecoraro R, Pinto A. Studies of selective TNF inhibitors in the treatment of brain injury from stroke and trauma: a review of the evidence to date. Drug Des Devel Ther. 2014;8:2221-2238. PMID: 25422582. PMCID: PMC4232043. https://pubmed.ncbi.nlm.nih.gov/25422582/ ; full text: https://pmc.ncbi.nlm.nih.gov/articles/PMC4232043/ ; DOI: https://doi.org/10.2147/DDDT.S67655</w:t>
      </w:r>
      <w:r w:rsidDel="00000000" w:rsidR="00000000" w:rsidRPr="00000000">
        <w:rPr>
          <w:rtl w:val="0"/>
        </w:rPr>
      </w:r>
    </w:p>
    <w:p w:rsidR="00000000" w:rsidDel="00000000" w:rsidP="00000000" w:rsidRDefault="00000000" w:rsidRPr="00000000" w14:paraId="0000040C">
      <w:pPr>
        <w:spacing w:after="40" w:line="240" w:lineRule="auto"/>
        <w:rPr/>
      </w:pPr>
      <w:r w:rsidDel="00000000" w:rsidR="00000000" w:rsidRPr="00000000">
        <w:rPr>
          <w:rFonts w:ascii="Aptos" w:cs="Aptos" w:eastAsia="Aptos" w:hAnsi="Aptos"/>
          <w:sz w:val="18"/>
          <w:szCs w:val="18"/>
          <w:rtl w:val="0"/>
        </w:rPr>
        <w:t xml:space="preserve">Olmos G, Lladó J. Tumor necrosis factor alpha: a link between neuroinflammation and excitotoxicity. Mediators Inflamm. 2014;2014:861231. PMID: 24966471. PMCID: PMC4055424. https://pubmed.ncbi.nlm.nih.gov/24966471/ ; full text: https://pmc.ncbi.nlm.nih.gov/articles/PMC4055424/ ; DOI: https://doi.org/10.1155/2014/861231</w:t>
      </w:r>
      <w:r w:rsidDel="00000000" w:rsidR="00000000" w:rsidRPr="00000000">
        <w:rPr>
          <w:rtl w:val="0"/>
        </w:rPr>
      </w:r>
    </w:p>
    <w:p w:rsidR="00000000" w:rsidDel="00000000" w:rsidP="00000000" w:rsidRDefault="00000000" w:rsidRPr="00000000" w14:paraId="0000040D">
      <w:pPr>
        <w:spacing w:after="40" w:line="240" w:lineRule="auto"/>
        <w:rPr/>
      </w:pPr>
      <w:r w:rsidDel="00000000" w:rsidR="00000000" w:rsidRPr="00000000">
        <w:rPr>
          <w:rFonts w:ascii="Aptos" w:cs="Aptos" w:eastAsia="Aptos" w:hAnsi="Aptos"/>
          <w:sz w:val="18"/>
          <w:szCs w:val="18"/>
          <w:rtl w:val="0"/>
        </w:rPr>
        <w:t xml:space="preserve">Ignatowski TA, Spengler RN, Dhandapani KM, Uretsky BF, Rhodes CH, Kelley BJ, Tobinick EL. Perispinal etanercept for post-stroke neurological and cognitive dysfunction: scientific rationale and current evidence. CNS Drugs. 2014;28(8):679-697. PMID: 24861337. PMCID: PMC4110406. https://pubmed.ncbi.nlm.nih.gov/24861337/ ; full text: https://pmc.ncbi.nlm.nih.gov/articles/PMC4110406/ ; DOI: https://doi.org/10.1007/s40263-014-0174-2</w:t>
      </w:r>
      <w:r w:rsidDel="00000000" w:rsidR="00000000" w:rsidRPr="00000000">
        <w:rPr>
          <w:rtl w:val="0"/>
        </w:rPr>
      </w:r>
    </w:p>
    <w:p w:rsidR="00000000" w:rsidDel="00000000" w:rsidP="00000000" w:rsidRDefault="00000000" w:rsidRPr="00000000" w14:paraId="0000040E">
      <w:pPr>
        <w:spacing w:after="40" w:line="240" w:lineRule="auto"/>
        <w:rPr/>
      </w:pPr>
      <w:r w:rsidDel="00000000" w:rsidR="00000000" w:rsidRPr="00000000">
        <w:rPr>
          <w:rFonts w:ascii="Aptos" w:cs="Aptos" w:eastAsia="Aptos" w:hAnsi="Aptos"/>
          <w:sz w:val="18"/>
          <w:szCs w:val="18"/>
          <w:rtl w:val="0"/>
        </w:rPr>
        <w:t xml:space="preserve">Tobinick E. The cerebrospinal venous system: anatomy, physiology, and clinical implications. MedGenMed. 2006;8(1):53. PMID: 16915183. https://pubmed.ncbi.nlm.nih.gov/16915183/</w:t>
      </w:r>
      <w:r w:rsidDel="00000000" w:rsidR="00000000" w:rsidRPr="00000000">
        <w:rPr>
          <w:rtl w:val="0"/>
        </w:rPr>
      </w:r>
    </w:p>
    <w:p w:rsidR="00000000" w:rsidDel="00000000" w:rsidP="00000000" w:rsidRDefault="00000000" w:rsidRPr="00000000" w14:paraId="0000040F">
      <w:pPr>
        <w:spacing w:after="40" w:line="240" w:lineRule="auto"/>
        <w:rPr/>
      </w:pPr>
      <w:r w:rsidDel="00000000" w:rsidR="00000000" w:rsidRPr="00000000">
        <w:rPr>
          <w:rFonts w:ascii="Aptos" w:cs="Aptos" w:eastAsia="Aptos" w:hAnsi="Aptos"/>
          <w:sz w:val="18"/>
          <w:szCs w:val="18"/>
          <w:rtl w:val="0"/>
        </w:rPr>
        <w:t xml:space="preserve">Tobinick EL. Perispinal Delivery of CNS Drugs. CNS Drugs. 2016;30(6):469-480. PMID: 27120182. PMCID: PMC4920856. https://pubmed.ncbi.nlm.nih.gov/27120182/ ; full text: https://pmc.ncbi.nlm.nih.gov/articles/PMC4920856/ ; DOI: https://doi.org/10.1007/s40263-016-0339-2</w:t>
      </w:r>
      <w:r w:rsidDel="00000000" w:rsidR="00000000" w:rsidRPr="00000000">
        <w:rPr>
          <w:rtl w:val="0"/>
        </w:rPr>
      </w:r>
    </w:p>
    <w:p w:rsidR="00000000" w:rsidDel="00000000" w:rsidP="00000000" w:rsidRDefault="00000000" w:rsidRPr="00000000" w14:paraId="00000410">
      <w:pPr>
        <w:spacing w:after="40" w:line="240" w:lineRule="auto"/>
        <w:rPr/>
      </w:pPr>
      <w:r w:rsidDel="00000000" w:rsidR="00000000" w:rsidRPr="00000000">
        <w:rPr>
          <w:rFonts w:ascii="Aptos" w:cs="Aptos" w:eastAsia="Aptos" w:hAnsi="Aptos"/>
          <w:sz w:val="18"/>
          <w:szCs w:val="18"/>
          <w:rtl w:val="0"/>
        </w:rPr>
        <w:t xml:space="preserve">Tobinick EL, Chen K, Chen X. Rapid intracerebroventricular delivery of Cu-DOTA-etanercept after peripheral administration demonstrated by PET imaging. BMC Res Notes. 2009;2:28. PMID: 19284700. PMCID: PMC2651903. https://pubmed.ncbi.nlm.nih.gov/19284700/ ; full text: https://pmc.ncbi.nlm.nih.gov/articles/PMC2651903/ ; DOI: https://doi.org/10.1186/1756-0500-2-28</w:t>
      </w:r>
      <w:r w:rsidDel="00000000" w:rsidR="00000000" w:rsidRPr="00000000">
        <w:rPr>
          <w:rtl w:val="0"/>
        </w:rPr>
      </w:r>
    </w:p>
    <w:p w:rsidR="00000000" w:rsidDel="00000000" w:rsidP="00000000" w:rsidRDefault="00000000" w:rsidRPr="00000000" w14:paraId="00000411">
      <w:pPr>
        <w:spacing w:after="40" w:line="240" w:lineRule="auto"/>
        <w:rPr/>
      </w:pPr>
      <w:r w:rsidDel="00000000" w:rsidR="00000000" w:rsidRPr="00000000">
        <w:rPr>
          <w:rFonts w:ascii="Aptos" w:cs="Aptos" w:eastAsia="Aptos" w:hAnsi="Aptos"/>
          <w:sz w:val="18"/>
          <w:szCs w:val="18"/>
          <w:rtl w:val="0"/>
        </w:rPr>
        <w:t xml:space="preserve">Roerink ME, Groen RJM, Franssen G, Lemmers-van de Weem B, Boerman OC, van der Meer JWM. Central delivery of iodine-125-labeled cetuximab, etanercept and anakinra after perispinal injection in rats: possible implications for treating Alzheimer's disease. Alzheimers Res Ther. 2015;7:70. PMID: 26560086. https://pubmed.ncbi.nlm.nih.gov/26560086/ ; DOI: https://doi.org/10.1186/s13195-015-0149-7</w:t>
      </w:r>
      <w:r w:rsidDel="00000000" w:rsidR="00000000" w:rsidRPr="00000000">
        <w:rPr>
          <w:rtl w:val="0"/>
        </w:rPr>
      </w:r>
    </w:p>
    <w:p w:rsidR="00000000" w:rsidDel="00000000" w:rsidP="00000000" w:rsidRDefault="00000000" w:rsidRPr="00000000" w14:paraId="00000412">
      <w:pPr>
        <w:spacing w:after="40" w:line="240" w:lineRule="auto"/>
        <w:rPr/>
      </w:pPr>
      <w:r w:rsidDel="00000000" w:rsidR="00000000" w:rsidRPr="00000000">
        <w:rPr>
          <w:rFonts w:ascii="Aptos" w:cs="Aptos" w:eastAsia="Aptos" w:hAnsi="Aptos"/>
          <w:sz w:val="18"/>
          <w:szCs w:val="18"/>
          <w:rtl w:val="0"/>
        </w:rPr>
        <w:t xml:space="preserve">Tobinick EL, et al. Selective TNF inhibition for chronic stroke and traumatic brain injury: an observational study involving 629 consecutive patients treated with perispinal etanercept. CNS Drugs. 2012;26(12):1051-1070. PMID: 23100196. https://pubmed.ncbi.nlm.nih.gov/23100196/ ; DOI: https://doi.org/10.1007/s40263-012-0013-2</w:t>
      </w:r>
      <w:r w:rsidDel="00000000" w:rsidR="00000000" w:rsidRPr="00000000">
        <w:rPr>
          <w:rtl w:val="0"/>
        </w:rPr>
      </w:r>
    </w:p>
    <w:p w:rsidR="00000000" w:rsidDel="00000000" w:rsidP="00000000" w:rsidRDefault="00000000" w:rsidRPr="00000000" w14:paraId="00000413">
      <w:pPr>
        <w:spacing w:after="40" w:line="240" w:lineRule="auto"/>
        <w:rPr/>
      </w:pPr>
      <w:r w:rsidDel="00000000" w:rsidR="00000000" w:rsidRPr="00000000">
        <w:rPr>
          <w:rFonts w:ascii="Aptos" w:cs="Aptos" w:eastAsia="Aptos" w:hAnsi="Aptos"/>
          <w:sz w:val="18"/>
          <w:szCs w:val="18"/>
          <w:rtl w:val="0"/>
        </w:rPr>
        <w:t xml:space="preserve">Ralph SJ, et al. Phase I/II parallel double-blind randomized controlled clinical trial of perispinal etanercept for chronic stroke: improved mobility and pain alleviation. Expert Opin Investig Drugs. 2020;29(3):311-326. PMID: 31899977. https://pubmed.ncbi.nlm.nih.gov/31899977/ ; DOI: https://doi.org/10.1080/13543784.2020.1706511</w:t>
      </w:r>
      <w:r w:rsidDel="00000000" w:rsidR="00000000" w:rsidRPr="00000000">
        <w:rPr>
          <w:rtl w:val="0"/>
        </w:rPr>
      </w:r>
    </w:p>
    <w:p w:rsidR="00000000" w:rsidDel="00000000" w:rsidP="00000000" w:rsidRDefault="00000000" w:rsidRPr="00000000" w14:paraId="00000414">
      <w:pPr>
        <w:spacing w:after="40" w:line="240" w:lineRule="auto"/>
        <w:rPr/>
      </w:pPr>
      <w:r w:rsidDel="00000000" w:rsidR="00000000" w:rsidRPr="00000000">
        <w:rPr>
          <w:rFonts w:ascii="Aptos" w:cs="Aptos" w:eastAsia="Aptos" w:hAnsi="Aptos"/>
          <w:sz w:val="18"/>
          <w:szCs w:val="18"/>
          <w:rtl w:val="0"/>
        </w:rPr>
        <w:t xml:space="preserve">Thijs VN, et al. Safety and Efficacy of Perispinal Etanercept for Chronic Stroke: A Randomized Clinical Trial. Neurology. 2025. PMID: 40906977. https://pubmed.ncbi.nlm.nih.gov/40906977/ ; full text: https://pmc.ncbi.nlm.nih.gov/articles/PMC12418806/ ; DOI: https://doi.org/10.1212/WNL.0000000000213981</w:t>
      </w:r>
      <w:r w:rsidDel="00000000" w:rsidR="00000000" w:rsidRPr="00000000">
        <w:rPr>
          <w:rtl w:val="0"/>
        </w:rPr>
      </w:r>
    </w:p>
    <w:p w:rsidR="00000000" w:rsidDel="00000000" w:rsidP="00000000" w:rsidRDefault="00000000" w:rsidRPr="00000000" w14:paraId="00000415">
      <w:pPr>
        <w:spacing w:after="40" w:line="240" w:lineRule="auto"/>
        <w:rPr/>
      </w:pPr>
      <w:r w:rsidDel="00000000" w:rsidR="00000000" w:rsidRPr="00000000">
        <w:rPr>
          <w:rFonts w:ascii="Aptos" w:cs="Aptos" w:eastAsia="Aptos" w:hAnsi="Aptos"/>
          <w:sz w:val="18"/>
          <w:szCs w:val="18"/>
          <w:rtl w:val="0"/>
        </w:rPr>
        <w:t xml:space="preserve">Thijs V, et al. Perispinal Etanercept to improve STroke Outcomes (PESTO): Protocol. Eur Stroke J. 2024. PMID: 38676623. https://pubmed.ncbi.nlm.nih.gov/38676623/ ; DOI: https://doi.org/10.1177/23969873241249248</w:t>
      </w:r>
      <w:r w:rsidDel="00000000" w:rsidR="00000000" w:rsidRPr="00000000">
        <w:rPr>
          <w:rtl w:val="0"/>
        </w:rPr>
      </w:r>
    </w:p>
    <w:p w:rsidR="00000000" w:rsidDel="00000000" w:rsidP="00000000" w:rsidRDefault="00000000" w:rsidRPr="00000000" w14:paraId="00000416">
      <w:pPr>
        <w:spacing w:after="40" w:line="240" w:lineRule="auto"/>
        <w:rPr/>
      </w:pPr>
      <w:r w:rsidDel="00000000" w:rsidR="00000000" w:rsidRPr="00000000">
        <w:rPr>
          <w:rFonts w:ascii="Aptos" w:cs="Aptos" w:eastAsia="Aptos" w:hAnsi="Aptos"/>
          <w:sz w:val="18"/>
          <w:szCs w:val="18"/>
          <w:rtl w:val="0"/>
        </w:rPr>
        <w:t xml:space="preserve">Chio CC, Lin JW, Chang MW, Wang CC, Kuo JR, Yang CZ, Chang CP. Therapeutic evaluation of etanercept in a model of traumatic brain injury. J Neurochem. 2010;115(4):921-929. PMID: 20796174. https://pubmed.ncbi.nlm.nih.gov/20796174/ ; DOI: https://doi.org/10.1111/j.1471-4159.2010.06987.x</w:t>
      </w:r>
      <w:r w:rsidDel="00000000" w:rsidR="00000000" w:rsidRPr="00000000">
        <w:rPr>
          <w:rtl w:val="0"/>
        </w:rPr>
      </w:r>
    </w:p>
    <w:p w:rsidR="00000000" w:rsidDel="00000000" w:rsidP="00000000" w:rsidRDefault="00000000" w:rsidRPr="00000000" w14:paraId="00000417">
      <w:pPr>
        <w:spacing w:after="40" w:line="240" w:lineRule="auto"/>
        <w:rPr/>
      </w:pPr>
      <w:r w:rsidDel="00000000" w:rsidR="00000000" w:rsidRPr="00000000">
        <w:rPr>
          <w:rFonts w:ascii="Aptos" w:cs="Aptos" w:eastAsia="Aptos" w:hAnsi="Aptos"/>
          <w:sz w:val="18"/>
          <w:szCs w:val="18"/>
          <w:rtl w:val="0"/>
        </w:rPr>
        <w:t xml:space="preserve">Cheong CU, Chang CP, Chao CM, Cheng BC, Yang CZ, Chio CC. Etanercept attenuates traumatic brain injury in rats by reducing brain TNF-alpha contents and by stimulating newly formed neurogenesis. Mediators Inflamm. 2013;2013:620837. PMID: 23710117. PMCID: PMC3654326. https://pubmed.ncbi.nlm.nih.gov/23710117/ ; full text: https://pmc.ncbi.nlm.nih.gov/articles/PMC3654326/ ; DOI: https://doi.org/10.1155/2013/620837</w:t>
      </w:r>
      <w:r w:rsidDel="00000000" w:rsidR="00000000" w:rsidRPr="00000000">
        <w:rPr>
          <w:rtl w:val="0"/>
        </w:rPr>
      </w:r>
    </w:p>
    <w:p w:rsidR="00000000" w:rsidDel="00000000" w:rsidP="00000000" w:rsidRDefault="00000000" w:rsidRPr="00000000" w14:paraId="00000418">
      <w:pPr>
        <w:spacing w:after="40" w:line="240" w:lineRule="auto"/>
        <w:rPr/>
      </w:pPr>
      <w:r w:rsidDel="00000000" w:rsidR="00000000" w:rsidRPr="00000000">
        <w:rPr>
          <w:rFonts w:ascii="Aptos" w:cs="Aptos" w:eastAsia="Aptos" w:hAnsi="Aptos"/>
          <w:sz w:val="18"/>
          <w:szCs w:val="18"/>
          <w:rtl w:val="0"/>
        </w:rPr>
        <w:t xml:space="preserve">Lei B, Dawson HN, Roulhac-Wilson B, et al. Tumor necrosis factor alpha antagonism improves neurological recovery in murine intracerebral hemorrhage. J Neuroinflammation. 2013;10:103. PMID: 23962089. PMCID: PMC3765285. https://pubmed.ncbi.nlm.nih.gov/23962089/ ; full text: https://pmc.ncbi.nlm.nih.gov/articles/PMC3765285/ ; DOI: https://doi.org/10.1186/1742-2094-10-103</w:t>
      </w:r>
      <w:r w:rsidDel="00000000" w:rsidR="00000000" w:rsidRPr="00000000">
        <w:rPr>
          <w:rtl w:val="0"/>
        </w:rPr>
      </w:r>
    </w:p>
    <w:p w:rsidR="00000000" w:rsidDel="00000000" w:rsidP="00000000" w:rsidRDefault="00000000" w:rsidRPr="00000000" w14:paraId="00000419">
      <w:pPr>
        <w:spacing w:after="40" w:line="240" w:lineRule="auto"/>
        <w:rPr/>
      </w:pPr>
      <w:r w:rsidDel="00000000" w:rsidR="00000000" w:rsidRPr="00000000">
        <w:rPr>
          <w:rFonts w:ascii="Aptos" w:cs="Aptos" w:eastAsia="Aptos" w:hAnsi="Aptos"/>
          <w:sz w:val="18"/>
          <w:szCs w:val="18"/>
          <w:rtl w:val="0"/>
        </w:rPr>
        <w:t xml:space="preserve">Zhang M, Xie J, Ma Y, Yin W. TNF-alpha in traumatic brain injury: a bidirectional effect in regulating neuroimmune and inflammatory responses. Cell Mol Life Sci. 2025;82(1):372. PMID: 41165801. https://pubmed.ncbi.nlm.nih.gov/41165801/ ; DOI: https://doi.org/10.1007/s00018-025-05796-5</w:t>
      </w:r>
      <w:r w:rsidDel="00000000" w:rsidR="00000000" w:rsidRPr="00000000">
        <w:rPr>
          <w:rtl w:val="0"/>
        </w:rPr>
      </w:r>
    </w:p>
    <w:p w:rsidR="00000000" w:rsidDel="00000000" w:rsidP="00000000" w:rsidRDefault="00000000" w:rsidRPr="00000000" w14:paraId="0000041A">
      <w:pPr>
        <w:spacing w:after="40" w:line="240" w:lineRule="auto"/>
        <w:rPr/>
      </w:pPr>
      <w:r w:rsidDel="00000000" w:rsidR="00000000" w:rsidRPr="00000000">
        <w:rPr>
          <w:rFonts w:ascii="Aptos" w:cs="Aptos" w:eastAsia="Aptos" w:hAnsi="Aptos"/>
          <w:sz w:val="18"/>
          <w:szCs w:val="18"/>
          <w:rtl w:val="0"/>
        </w:rPr>
        <w:t xml:space="preserve">Fanzhou R, Yuding L, Pingchuan L, Hai X, Xu L, Jian W. The role of TNF signaling pathway in post-stroke cognitive impairment: a systematic review. Ann Med. 2025;57(1):2543519. PMID: 40781737. PMCID: PMC12337740. https://pubmed.ncbi.nlm.nih.gov/40781737/ ; full text: https://pmc.ncbi.nlm.nih.gov/articles/PMC12337740/ ; DOI: https://doi.org/10.1080/07853890.2025.2543519</w:t>
      </w:r>
      <w:r w:rsidDel="00000000" w:rsidR="00000000" w:rsidRPr="00000000">
        <w:rPr>
          <w:rtl w:val="0"/>
        </w:rPr>
      </w:r>
    </w:p>
    <w:p w:rsidR="00000000" w:rsidDel="00000000" w:rsidP="00000000" w:rsidRDefault="00000000" w:rsidRPr="00000000" w14:paraId="0000041B">
      <w:pPr>
        <w:spacing w:after="40" w:line="240" w:lineRule="auto"/>
        <w:rPr/>
      </w:pPr>
      <w:r w:rsidDel="00000000" w:rsidR="00000000" w:rsidRPr="00000000">
        <w:rPr>
          <w:rFonts w:ascii="Aptos" w:cs="Aptos" w:eastAsia="Aptos" w:hAnsi="Aptos"/>
          <w:sz w:val="18"/>
          <w:szCs w:val="18"/>
          <w:rtl w:val="0"/>
        </w:rPr>
        <w:t xml:space="preserve">Kelly AM. The minimum clinically significant difference in visual analogue scale pain score does not differ with severity of pain. Emerg Med J. 2001;18(3):205-207. PMID: 11354213. PMCID: PMC1725574. https://pubmed.ncbi.nlm.nih.gov/11354213/ ; full text: https://pmc.ncbi.nlm.nih.gov/articles/PMC1725574/ ; DOI: https://doi.org/10.1136/emj.18.3.205</w:t>
      </w:r>
      <w:r w:rsidDel="00000000" w:rsidR="00000000" w:rsidRPr="00000000">
        <w:rPr>
          <w:rtl w:val="0"/>
        </w:rPr>
      </w:r>
    </w:p>
    <w:p w:rsidR="00000000" w:rsidDel="00000000" w:rsidP="00000000" w:rsidRDefault="00000000" w:rsidRPr="00000000" w14:paraId="0000041C">
      <w:pPr>
        <w:spacing w:after="40" w:line="240" w:lineRule="auto"/>
        <w:rPr/>
      </w:pPr>
      <w:r w:rsidDel="00000000" w:rsidR="00000000" w:rsidRPr="00000000">
        <w:rPr>
          <w:rFonts w:ascii="Aptos" w:cs="Aptos" w:eastAsia="Aptos" w:hAnsi="Aptos"/>
          <w:sz w:val="18"/>
          <w:szCs w:val="18"/>
          <w:rtl w:val="0"/>
        </w:rPr>
        <w:t xml:space="preserve">Rooney S, McFadyen DA, Wood DL, Moffat F, Paul L. Minimally important difference of the Fatigue Severity Scale and Modified Fatigue Impact Scale in people with multiple sclerosis. Mult Scler Relat Disord. 2019;35:158-163. PMID: 31400557. https://pubmed.ncbi.nlm.nih.gov/31400557/ ; DOI: https://doi.org/10.1016/j.msard.2019.07.028</w:t>
      </w:r>
      <w:r w:rsidDel="00000000" w:rsidR="00000000" w:rsidRPr="00000000">
        <w:rPr>
          <w:rtl w:val="0"/>
        </w:rPr>
      </w:r>
    </w:p>
    <w:p w:rsidR="00000000" w:rsidDel="00000000" w:rsidP="00000000" w:rsidRDefault="00000000" w:rsidRPr="00000000" w14:paraId="0000041D">
      <w:pPr>
        <w:spacing w:after="40" w:line="240" w:lineRule="auto"/>
        <w:rPr/>
      </w:pPr>
      <w:r w:rsidDel="00000000" w:rsidR="00000000" w:rsidRPr="00000000">
        <w:rPr>
          <w:rFonts w:ascii="Aptos" w:cs="Aptos" w:eastAsia="Aptos" w:hAnsi="Aptos"/>
          <w:sz w:val="18"/>
          <w:szCs w:val="18"/>
          <w:rtl w:val="0"/>
        </w:rPr>
        <w:t xml:space="preserve">NICE. NICE real-world evidence framework (ECD9). 2022. https://www.nice.org.uk/corporate/ecd9</w:t>
      </w:r>
      <w:r w:rsidDel="00000000" w:rsidR="00000000" w:rsidRPr="00000000">
        <w:rPr>
          <w:rtl w:val="0"/>
        </w:rPr>
      </w:r>
    </w:p>
    <w:p w:rsidR="00000000" w:rsidDel="00000000" w:rsidP="00000000" w:rsidRDefault="00000000" w:rsidRPr="00000000" w14:paraId="0000041E">
      <w:pPr>
        <w:spacing w:after="40" w:line="240" w:lineRule="auto"/>
        <w:rPr/>
      </w:pPr>
      <w:r w:rsidDel="00000000" w:rsidR="00000000" w:rsidRPr="00000000">
        <w:rPr>
          <w:rFonts w:ascii="Aptos" w:cs="Aptos" w:eastAsia="Aptos" w:hAnsi="Aptos"/>
          <w:sz w:val="18"/>
          <w:szCs w:val="18"/>
          <w:rtl w:val="0"/>
        </w:rPr>
        <w:t xml:space="preserve">Mariano LT, Phillips A, Estes K, Kilburn MR. Examining the Inclusion of Neutral Response Categories on Likert Scales. RAND working paper. 2024. https://www.rand.org/content/dam/rand/pubs/working_papers/WRA3100/WRA3135-1/RAND_WRA3135-1.pdf</w:t>
      </w:r>
      <w:r w:rsidDel="00000000" w:rsidR="00000000" w:rsidRPr="00000000">
        <w:rPr>
          <w:rtl w:val="0"/>
        </w:rPr>
      </w:r>
    </w:p>
    <w:p w:rsidR="00000000" w:rsidDel="00000000" w:rsidP="00000000" w:rsidRDefault="00000000" w:rsidRPr="00000000" w14:paraId="0000041F">
      <w:pPr>
        <w:spacing w:after="40" w:line="240" w:lineRule="auto"/>
        <w:rPr/>
      </w:pPr>
      <w:r w:rsidDel="00000000" w:rsidR="00000000" w:rsidRPr="00000000">
        <w:rPr>
          <w:rFonts w:ascii="Aptos" w:cs="Aptos" w:eastAsia="Aptos" w:hAnsi="Aptos"/>
          <w:sz w:val="18"/>
          <w:szCs w:val="18"/>
          <w:rtl w:val="0"/>
        </w:rPr>
        <w:t xml:space="preserve">Lakens D. Calculating and reporting effect sizes to facilitate cumulative science: a practical primer for t-tests and ANOVAs. Front Psychol. 2013;4:863. PMCID: PMC3840331. https://pmc.ncbi.nlm.nih.gov/articles/PMC3840331/ ; DOI: https://doi.org/10.3389/fpsyg.2013.00863</w:t>
      </w:r>
      <w:r w:rsidDel="00000000" w:rsidR="00000000" w:rsidRPr="00000000">
        <w:rPr>
          <w:rtl w:val="0"/>
        </w:rPr>
      </w:r>
    </w:p>
    <w:p w:rsidR="00000000" w:rsidDel="00000000" w:rsidP="00000000" w:rsidRDefault="00000000" w:rsidRPr="00000000" w14:paraId="00000420">
      <w:pPr>
        <w:pStyle w:val="Heading2"/>
        <w:spacing w:before="0" w:lineRule="auto"/>
        <w:rPr/>
      </w:pPr>
      <w:r w:rsidDel="00000000" w:rsidR="00000000" w:rsidRPr="00000000">
        <w:rPr>
          <w:rFonts w:ascii="Aptos" w:cs="Aptos" w:eastAsia="Aptos" w:hAnsi="Aptos"/>
          <w:sz w:val="22"/>
          <w:szCs w:val="22"/>
          <w:rtl w:val="0"/>
        </w:rPr>
        <w:t xml:space="preserve">Supplerende fagligt materiale og baggrundslinks (baggrund, ikke primær evidens)</w:t>
      </w:r>
      <w:r w:rsidDel="00000000" w:rsidR="00000000" w:rsidRPr="00000000">
        <w:rPr>
          <w:rtl w:val="0"/>
        </w:rPr>
      </w:r>
    </w:p>
    <w:p w:rsidR="00000000" w:rsidDel="00000000" w:rsidP="00000000" w:rsidRDefault="00000000" w:rsidRPr="00000000" w14:paraId="00000421">
      <w:pPr>
        <w:spacing w:after="40" w:line="240" w:lineRule="auto"/>
        <w:rPr/>
      </w:pPr>
      <w:r w:rsidDel="00000000" w:rsidR="00000000" w:rsidRPr="00000000">
        <w:rPr>
          <w:rFonts w:ascii="Aptos" w:cs="Aptos" w:eastAsia="Aptos" w:hAnsi="Aptos"/>
          <w:sz w:val="17"/>
          <w:szCs w:val="17"/>
          <w:rtl w:val="0"/>
        </w:rPr>
        <w:t xml:space="preserve">Harvard Medicine Magazine. Inflammation and Brain Health. 2021. Baggrundsfeature om neuroinflammation, mikroglia, astrocytter og biomarkører. https://magazine.hms.harvard.edu/articles/inflammation-and-brain-health</w:t>
      </w:r>
      <w:r w:rsidDel="00000000" w:rsidR="00000000" w:rsidRPr="00000000">
        <w:rPr>
          <w:rtl w:val="0"/>
        </w:rPr>
      </w:r>
    </w:p>
    <w:p w:rsidR="00000000" w:rsidDel="00000000" w:rsidP="00000000" w:rsidRDefault="00000000" w:rsidRPr="00000000" w14:paraId="00000422">
      <w:pPr>
        <w:spacing w:after="40" w:line="240" w:lineRule="auto"/>
        <w:rPr/>
      </w:pPr>
      <w:r w:rsidDel="00000000" w:rsidR="00000000" w:rsidRPr="00000000">
        <w:rPr>
          <w:rFonts w:ascii="Aptos" w:cs="Aptos" w:eastAsia="Aptos" w:hAnsi="Aptos"/>
          <w:sz w:val="17"/>
          <w:szCs w:val="17"/>
          <w:rtl w:val="0"/>
        </w:rPr>
        <w:t xml:space="preserve">University at Buffalo (UBNow). After a concussion, active management is most effective treatment. 2025. Baggrundsartikel relateret til Leddy’s NEJM-oversigt. https://www.buffalo.edu/ubnow/stories/2025/01/leddy-concussion-nejm.html</w:t>
      </w:r>
      <w:r w:rsidDel="00000000" w:rsidR="00000000" w:rsidRPr="00000000">
        <w:rPr>
          <w:rtl w:val="0"/>
        </w:rPr>
      </w:r>
    </w:p>
    <w:p w:rsidR="00000000" w:rsidDel="00000000" w:rsidP="00000000" w:rsidRDefault="00000000" w:rsidRPr="00000000" w14:paraId="00000423">
      <w:pPr>
        <w:spacing w:after="40" w:line="240" w:lineRule="auto"/>
        <w:rPr/>
      </w:pPr>
      <w:r w:rsidDel="00000000" w:rsidR="00000000" w:rsidRPr="00000000">
        <w:rPr>
          <w:rFonts w:ascii="Aptos" w:cs="Aptos" w:eastAsia="Aptos" w:hAnsi="Aptos"/>
          <w:sz w:val="17"/>
          <w:szCs w:val="17"/>
          <w:rtl w:val="0"/>
        </w:rPr>
        <w:t xml:space="preserve">Institute of Neurological Recovery. Scientific publications index. Bibliografisk oversigt over Tobinick-relaterede og tilstødende publikationer; anvendes som bibliografisk indgang, ikke som primær evidens. https://www.tobinick.com/inr-scientific-publications/</w:t>
      </w:r>
      <w:r w:rsidDel="00000000" w:rsidR="00000000" w:rsidRPr="00000000">
        <w:rPr>
          <w:rtl w:val="0"/>
        </w:rPr>
      </w:r>
    </w:p>
    <w:p w:rsidR="00000000" w:rsidDel="00000000" w:rsidP="00000000" w:rsidRDefault="00000000" w:rsidRPr="00000000" w14:paraId="00000424">
      <w:pPr>
        <w:spacing w:after="40" w:line="240" w:lineRule="auto"/>
        <w:rPr/>
      </w:pPr>
      <w:r w:rsidDel="00000000" w:rsidR="00000000" w:rsidRPr="00000000">
        <w:rPr>
          <w:rFonts w:ascii="Aptos" w:cs="Aptos" w:eastAsia="Aptos" w:hAnsi="Aptos"/>
          <w:sz w:val="17"/>
          <w:szCs w:val="17"/>
          <w:rtl w:val="0"/>
        </w:rPr>
        <w:t xml:space="preserve">Institute of Neurological Recovery. Website and treatment overview. Baggrund om programmet og historisk positionering; ikke anvendt som primær evidens. https://www.tobinick.com/</w:t>
      </w:r>
      <w:r w:rsidDel="00000000" w:rsidR="00000000" w:rsidRPr="00000000">
        <w:rPr>
          <w:rtl w:val="0"/>
        </w:rPr>
      </w:r>
    </w:p>
    <w:p w:rsidR="00000000" w:rsidDel="00000000" w:rsidP="00000000" w:rsidRDefault="00000000" w:rsidRPr="00000000" w14:paraId="00000425">
      <w:pPr>
        <w:spacing w:after="40" w:line="240" w:lineRule="auto"/>
        <w:rPr/>
      </w:pPr>
      <w:r w:rsidDel="00000000" w:rsidR="00000000" w:rsidRPr="00000000">
        <w:rPr>
          <w:rFonts w:ascii="Aptos" w:cs="Aptos" w:eastAsia="Aptos" w:hAnsi="Aptos"/>
          <w:sz w:val="17"/>
          <w:szCs w:val="17"/>
          <w:rtl w:val="0"/>
        </w:rPr>
        <w:t xml:space="preserve">McAlpine CS, et al. Astrocytic interleukin-3 programs microglia and limits Alzheimer's disease. Nature. 2021;595(7869):701-706. PMID: 34262178. PMCID: PMC8934148. https://pubmed.ncbi.nlm.nih.gov/34262178/ ; full text: https://pmc.ncbi.nlm.nih.gov/articles/PMC8934148/ ; DOI: https://doi.org/10.1038/s41586-021-03734-6</w:t>
      </w:r>
      <w:r w:rsidDel="00000000" w:rsidR="00000000" w:rsidRPr="00000000">
        <w:rPr>
          <w:rtl w:val="0"/>
        </w:rPr>
      </w:r>
    </w:p>
    <w:p w:rsidR="00000000" w:rsidDel="00000000" w:rsidP="00000000" w:rsidRDefault="00000000" w:rsidRPr="00000000" w14:paraId="00000426">
      <w:pPr>
        <w:spacing w:after="40" w:line="240" w:lineRule="auto"/>
        <w:rPr/>
      </w:pPr>
      <w:r w:rsidDel="00000000" w:rsidR="00000000" w:rsidRPr="00000000">
        <w:rPr>
          <w:rFonts w:ascii="Aptos" w:cs="Aptos" w:eastAsia="Aptos" w:hAnsi="Aptos"/>
          <w:sz w:val="17"/>
          <w:szCs w:val="17"/>
          <w:rtl w:val="0"/>
        </w:rPr>
        <w:t xml:space="preserve">Paolicelli RC, Sierra A, Stevens B, et al. Microglia states and nomenclature: A field at its crossroads. Neuron. 2022;110(21):3458-3483. PMID: 36327895. PMCID: PMC9999291. https://pubmed.ncbi.nlm.nih.gov/36327895/ ; full text: https://pmc.ncbi.nlm.nih.gov/articles/PMC9999291/ ; DOI: https://doi.org/10.1016/j.neuron.2022.10.020</w:t>
      </w:r>
      <w:r w:rsidDel="00000000" w:rsidR="00000000" w:rsidRPr="00000000">
        <w:rPr>
          <w:rtl w:val="0"/>
        </w:rPr>
      </w:r>
    </w:p>
    <w:p w:rsidR="00000000" w:rsidDel="00000000" w:rsidP="00000000" w:rsidRDefault="00000000" w:rsidRPr="00000000" w14:paraId="00000427">
      <w:pPr>
        <w:spacing w:after="40" w:line="240" w:lineRule="auto"/>
        <w:rPr/>
      </w:pPr>
      <w:r w:rsidDel="00000000" w:rsidR="00000000" w:rsidRPr="00000000">
        <w:rPr>
          <w:rFonts w:ascii="Aptos" w:cs="Aptos" w:eastAsia="Aptos" w:hAnsi="Aptos"/>
          <w:sz w:val="17"/>
          <w:szCs w:val="17"/>
          <w:rtl w:val="0"/>
        </w:rPr>
        <w:t xml:space="preserve">Zhang W, Xiao D, Mao Q, Xia H. Role of neuroinflammation in neurodegeneration development. Signal Transduct Target Ther. 2023;8(1):267. PMID: 37433768. PMCID: PMC10336149. https://pubmed.ncbi.nlm.nih.gov/37433768/ ; full text: https://pmc.ncbi.nlm.nih.gov/articles/PMC10336149/ ; DOI: https://doi.org/10.1038/s41392-023-01486-5</w:t>
      </w:r>
      <w:r w:rsidDel="00000000" w:rsidR="00000000" w:rsidRPr="00000000">
        <w:rPr>
          <w:rtl w:val="0"/>
        </w:rPr>
      </w:r>
    </w:p>
    <w:p w:rsidR="00000000" w:rsidDel="00000000" w:rsidP="00000000" w:rsidRDefault="00000000" w:rsidRPr="00000000" w14:paraId="00000428">
      <w:pPr>
        <w:spacing w:after="40" w:line="240" w:lineRule="auto"/>
        <w:rPr/>
      </w:pPr>
      <w:r w:rsidDel="00000000" w:rsidR="00000000" w:rsidRPr="00000000">
        <w:rPr>
          <w:rFonts w:ascii="Aptos" w:cs="Aptos" w:eastAsia="Aptos" w:hAnsi="Aptos"/>
          <w:sz w:val="17"/>
          <w:szCs w:val="17"/>
          <w:rtl w:val="0"/>
        </w:rPr>
        <w:t xml:space="preserve">De Picker LJ, Morrens M, Chance SA, Boche D. TSPO PET brain inflammation imaging: A transdiagnostic systematic review and meta-analysis of 156 case-control studies. Brain Behav Immun. 2023;113:415-431. PMID: 37543251. https://pubmed.ncbi.nlm.nih.gov/37543251/ ; DOI: https://doi.org/10.1016/j.bbi.2023.07.023</w:t>
      </w:r>
      <w:r w:rsidDel="00000000" w:rsidR="00000000" w:rsidRPr="00000000">
        <w:rPr>
          <w:rtl w:val="0"/>
        </w:rPr>
      </w:r>
    </w:p>
    <w:p w:rsidR="00000000" w:rsidDel="00000000" w:rsidP="00000000" w:rsidRDefault="00000000" w:rsidRPr="00000000" w14:paraId="00000429">
      <w:pPr>
        <w:pStyle w:val="Heading1"/>
        <w:rPr/>
      </w:pPr>
      <w:r w:rsidDel="00000000" w:rsidR="00000000" w:rsidRPr="00000000">
        <w:rPr>
          <w:rtl w:val="0"/>
        </w:rPr>
        <w:t xml:space="preserve">Bilag G – STROBE-rapportering (oversigt)</w:t>
      </w:r>
    </w:p>
    <w:tbl>
      <w:tblPr>
        <w:tblStyle w:val="Table16"/>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5"/>
        <w:gridCol w:w="2878"/>
        <w:gridCol w:w="2877"/>
        <w:tblGridChange w:id="0">
          <w:tblGrid>
            <w:gridCol w:w="2875"/>
            <w:gridCol w:w="2878"/>
            <w:gridCol w:w="2877"/>
          </w:tblGrid>
        </w:tblGridChange>
      </w:tblGrid>
      <w:tr>
        <w:trPr>
          <w:cantSplit w:val="0"/>
          <w:tblHeader w:val="1"/>
        </w:trPr>
        <w:tc>
          <w:tcPr/>
          <w:p w:rsidR="00000000" w:rsidDel="00000000" w:rsidP="00000000" w:rsidRDefault="00000000" w:rsidRPr="00000000" w14:paraId="0000042A">
            <w:pPr>
              <w:rPr/>
            </w:pPr>
            <w:r w:rsidDel="00000000" w:rsidR="00000000" w:rsidRPr="00000000">
              <w:rPr>
                <w:rtl w:val="0"/>
              </w:rPr>
              <w:t xml:space="preserve">STROBE item</w:t>
            </w:r>
          </w:p>
        </w:tc>
        <w:tc>
          <w:tcPr/>
          <w:p w:rsidR="00000000" w:rsidDel="00000000" w:rsidP="00000000" w:rsidRDefault="00000000" w:rsidRPr="00000000" w14:paraId="0000042B">
            <w:pPr>
              <w:rPr/>
            </w:pPr>
            <w:r w:rsidDel="00000000" w:rsidR="00000000" w:rsidRPr="00000000">
              <w:rPr>
                <w:rtl w:val="0"/>
              </w:rPr>
              <w:t xml:space="preserve">Kort krav</w:t>
            </w:r>
          </w:p>
        </w:tc>
        <w:tc>
          <w:tcPr/>
          <w:p w:rsidR="00000000" w:rsidDel="00000000" w:rsidP="00000000" w:rsidRDefault="00000000" w:rsidRPr="00000000" w14:paraId="0000042C">
            <w:pPr>
              <w:rPr/>
            </w:pPr>
            <w:r w:rsidDel="00000000" w:rsidR="00000000" w:rsidRPr="00000000">
              <w:rPr>
                <w:rtl w:val="0"/>
              </w:rPr>
              <w:t xml:space="preserve">Hvor adresseret i V1.5</w:t>
            </w:r>
          </w:p>
        </w:tc>
      </w:tr>
      <w:tr>
        <w:trPr>
          <w:cantSplit w:val="0"/>
          <w:tblHeader w:val="0"/>
        </w:trPr>
        <w:tc>
          <w:tcPr/>
          <w:p w:rsidR="00000000" w:rsidDel="00000000" w:rsidP="00000000" w:rsidRDefault="00000000" w:rsidRPr="00000000" w14:paraId="0000042D">
            <w:pPr>
              <w:rPr/>
            </w:pPr>
            <w:r w:rsidDel="00000000" w:rsidR="00000000" w:rsidRPr="00000000">
              <w:rPr>
                <w:rtl w:val="0"/>
              </w:rPr>
              <w:t xml:space="preserve">1</w:t>
            </w:r>
          </w:p>
        </w:tc>
        <w:tc>
          <w:tcPr/>
          <w:p w:rsidR="00000000" w:rsidDel="00000000" w:rsidP="00000000" w:rsidRDefault="00000000" w:rsidRPr="00000000" w14:paraId="0000042E">
            <w:pPr>
              <w:rPr/>
            </w:pPr>
            <w:r w:rsidDel="00000000" w:rsidR="00000000" w:rsidRPr="00000000">
              <w:rPr>
                <w:rtl w:val="0"/>
              </w:rPr>
              <w:t xml:space="preserve">Design angivet i titel/resumé</w:t>
            </w:r>
          </w:p>
        </w:tc>
        <w:tc>
          <w:tcPr/>
          <w:p w:rsidR="00000000" w:rsidDel="00000000" w:rsidP="00000000" w:rsidRDefault="00000000" w:rsidRPr="00000000" w14:paraId="0000042F">
            <w:pPr>
              <w:rPr/>
            </w:pPr>
            <w:r w:rsidDel="00000000" w:rsidR="00000000" w:rsidRPr="00000000">
              <w:rPr>
                <w:rtl w:val="0"/>
              </w:rPr>
              <w:t xml:space="preserve">Titel + resumé (metoder)</w:t>
            </w:r>
          </w:p>
        </w:tc>
      </w:tr>
      <w:tr>
        <w:trPr>
          <w:cantSplit w:val="0"/>
          <w:tblHeader w:val="0"/>
        </w:trPr>
        <w:tc>
          <w:tcPr/>
          <w:p w:rsidR="00000000" w:rsidDel="00000000" w:rsidP="00000000" w:rsidRDefault="00000000" w:rsidRPr="00000000" w14:paraId="00000430">
            <w:pPr>
              <w:rPr/>
            </w:pPr>
            <w:r w:rsidDel="00000000" w:rsidR="00000000" w:rsidRPr="00000000">
              <w:rPr>
                <w:rtl w:val="0"/>
              </w:rPr>
              <w:t xml:space="preserve">2–3</w:t>
            </w:r>
          </w:p>
        </w:tc>
        <w:tc>
          <w:tcPr/>
          <w:p w:rsidR="00000000" w:rsidDel="00000000" w:rsidP="00000000" w:rsidRDefault="00000000" w:rsidRPr="00000000" w14:paraId="00000431">
            <w:pPr>
              <w:rPr/>
            </w:pPr>
            <w:r w:rsidDel="00000000" w:rsidR="00000000" w:rsidRPr="00000000">
              <w:rPr>
                <w:rtl w:val="0"/>
              </w:rPr>
              <w:t xml:space="preserve">Baggrund og formål</w:t>
            </w:r>
          </w:p>
        </w:tc>
        <w:tc>
          <w:tcPr/>
          <w:p w:rsidR="00000000" w:rsidDel="00000000" w:rsidP="00000000" w:rsidRDefault="00000000" w:rsidRPr="00000000" w14:paraId="00000432">
            <w:pPr>
              <w:rPr/>
            </w:pPr>
            <w:r w:rsidDel="00000000" w:rsidR="00000000" w:rsidRPr="00000000">
              <w:rPr>
                <w:rtl w:val="0"/>
              </w:rPr>
              <w:t xml:space="preserve">Introduktion</w:t>
            </w:r>
          </w:p>
        </w:tc>
      </w:tr>
      <w:tr>
        <w:trPr>
          <w:cantSplit w:val="0"/>
          <w:tblHeader w:val="0"/>
        </w:trPr>
        <w:tc>
          <w:tcPr/>
          <w:p w:rsidR="00000000" w:rsidDel="00000000" w:rsidP="00000000" w:rsidRDefault="00000000" w:rsidRPr="00000000" w14:paraId="00000433">
            <w:pPr>
              <w:rPr/>
            </w:pPr>
            <w:r w:rsidDel="00000000" w:rsidR="00000000" w:rsidRPr="00000000">
              <w:rPr>
                <w:rtl w:val="0"/>
              </w:rPr>
              <w:t xml:space="preserve">4–5</w:t>
            </w:r>
          </w:p>
        </w:tc>
        <w:tc>
          <w:tcPr/>
          <w:p w:rsidR="00000000" w:rsidDel="00000000" w:rsidP="00000000" w:rsidRDefault="00000000" w:rsidRPr="00000000" w14:paraId="00000434">
            <w:pPr>
              <w:rPr/>
            </w:pPr>
            <w:r w:rsidDel="00000000" w:rsidR="00000000" w:rsidRPr="00000000">
              <w:rPr>
                <w:rtl w:val="0"/>
              </w:rPr>
              <w:t xml:space="preserve">Studiedesign og setting/datoer</w:t>
            </w:r>
          </w:p>
        </w:tc>
        <w:tc>
          <w:tcPr/>
          <w:p w:rsidR="00000000" w:rsidDel="00000000" w:rsidP="00000000" w:rsidRDefault="00000000" w:rsidRPr="00000000" w14:paraId="00000435">
            <w:pPr>
              <w:rPr/>
            </w:pPr>
            <w:r w:rsidDel="00000000" w:rsidR="00000000" w:rsidRPr="00000000">
              <w:rPr>
                <w:rtl w:val="0"/>
              </w:rPr>
              <w:t xml:space="preserve">Metoder: Studiedesign og setting</w:t>
            </w:r>
          </w:p>
        </w:tc>
      </w:tr>
      <w:tr>
        <w:trPr>
          <w:cantSplit w:val="0"/>
          <w:tblHeader w:val="0"/>
        </w:trPr>
        <w:tc>
          <w:tcPr/>
          <w:p w:rsidR="00000000" w:rsidDel="00000000" w:rsidP="00000000" w:rsidRDefault="00000000" w:rsidRPr="00000000" w14:paraId="00000436">
            <w:pPr>
              <w:rPr/>
            </w:pPr>
            <w:r w:rsidDel="00000000" w:rsidR="00000000" w:rsidRPr="00000000">
              <w:rPr>
                <w:rtl w:val="0"/>
              </w:rPr>
              <w:t xml:space="preserve">6</w:t>
            </w:r>
          </w:p>
        </w:tc>
        <w:tc>
          <w:tcPr/>
          <w:p w:rsidR="00000000" w:rsidDel="00000000" w:rsidP="00000000" w:rsidRDefault="00000000" w:rsidRPr="00000000" w14:paraId="00000437">
            <w:pPr>
              <w:rPr/>
            </w:pPr>
            <w:r w:rsidDel="00000000" w:rsidR="00000000" w:rsidRPr="00000000">
              <w:rPr>
                <w:rtl w:val="0"/>
              </w:rPr>
              <w:t xml:space="preserve">Deltagere/inklusion</w:t>
            </w:r>
          </w:p>
        </w:tc>
        <w:tc>
          <w:tcPr/>
          <w:p w:rsidR="00000000" w:rsidDel="00000000" w:rsidP="00000000" w:rsidRDefault="00000000" w:rsidRPr="00000000" w14:paraId="00000438">
            <w:pPr>
              <w:rPr/>
            </w:pPr>
            <w:r w:rsidDel="00000000" w:rsidR="00000000" w:rsidRPr="00000000">
              <w:rPr>
                <w:rtl w:val="0"/>
              </w:rPr>
              <w:t xml:space="preserve">Metoder: Deltagere + Bilag B</w:t>
            </w:r>
          </w:p>
        </w:tc>
      </w:tr>
      <w:tr>
        <w:trPr>
          <w:cantSplit w:val="0"/>
          <w:tblHeader w:val="0"/>
        </w:trPr>
        <w:tc>
          <w:tcPr/>
          <w:p w:rsidR="00000000" w:rsidDel="00000000" w:rsidP="00000000" w:rsidRDefault="00000000" w:rsidRPr="00000000" w14:paraId="00000439">
            <w:pPr>
              <w:rPr/>
            </w:pPr>
            <w:r w:rsidDel="00000000" w:rsidR="00000000" w:rsidRPr="00000000">
              <w:rPr>
                <w:rtl w:val="0"/>
              </w:rPr>
              <w:t xml:space="preserve">7–8</w:t>
            </w:r>
          </w:p>
        </w:tc>
        <w:tc>
          <w:tcPr/>
          <w:p w:rsidR="00000000" w:rsidDel="00000000" w:rsidP="00000000" w:rsidRDefault="00000000" w:rsidRPr="00000000" w14:paraId="0000043A">
            <w:pPr>
              <w:rPr/>
            </w:pPr>
            <w:r w:rsidDel="00000000" w:rsidR="00000000" w:rsidRPr="00000000">
              <w:rPr>
                <w:rtl w:val="0"/>
              </w:rPr>
              <w:t xml:space="preserve">Variable/endepunkter + målemetoder</w:t>
            </w:r>
          </w:p>
        </w:tc>
        <w:tc>
          <w:tcPr/>
          <w:p w:rsidR="00000000" w:rsidDel="00000000" w:rsidP="00000000" w:rsidRDefault="00000000" w:rsidRPr="00000000" w14:paraId="0000043B">
            <w:pPr>
              <w:rPr/>
            </w:pPr>
            <w:r w:rsidDel="00000000" w:rsidR="00000000" w:rsidRPr="00000000">
              <w:rPr>
                <w:rtl w:val="0"/>
              </w:rPr>
              <w:t xml:space="preserve">Metoder: Endepunkts + Målemetoder; Bilag C/F</w:t>
            </w:r>
          </w:p>
        </w:tc>
      </w:tr>
      <w:tr>
        <w:trPr>
          <w:cantSplit w:val="0"/>
          <w:tblHeader w:val="0"/>
        </w:trPr>
        <w:tc>
          <w:tcPr/>
          <w:p w:rsidR="00000000" w:rsidDel="00000000" w:rsidP="00000000" w:rsidRDefault="00000000" w:rsidRPr="00000000" w14:paraId="0000043C">
            <w:pPr>
              <w:rPr/>
            </w:pPr>
            <w:r w:rsidDel="00000000" w:rsidR="00000000" w:rsidRPr="00000000">
              <w:rPr>
                <w:rtl w:val="0"/>
              </w:rPr>
              <w:t xml:space="preserve">9</w:t>
            </w:r>
          </w:p>
        </w:tc>
        <w:tc>
          <w:tcPr/>
          <w:p w:rsidR="00000000" w:rsidDel="00000000" w:rsidP="00000000" w:rsidRDefault="00000000" w:rsidRPr="00000000" w14:paraId="0000043D">
            <w:pPr>
              <w:rPr/>
            </w:pPr>
            <w:r w:rsidDel="00000000" w:rsidR="00000000" w:rsidRPr="00000000">
              <w:rPr>
                <w:rtl w:val="0"/>
              </w:rPr>
              <w:t xml:space="preserve">Bias</w:t>
            </w:r>
          </w:p>
        </w:tc>
        <w:tc>
          <w:tcPr/>
          <w:p w:rsidR="00000000" w:rsidDel="00000000" w:rsidP="00000000" w:rsidRDefault="00000000" w:rsidRPr="00000000" w14:paraId="0000043E">
            <w:pPr>
              <w:rPr/>
            </w:pPr>
            <w:r w:rsidDel="00000000" w:rsidR="00000000" w:rsidRPr="00000000">
              <w:rPr>
                <w:rtl w:val="0"/>
              </w:rPr>
              <w:t xml:space="preserve">Metoder: Bias/confounding; Diskussion: Begrænsninger</w:t>
            </w:r>
          </w:p>
        </w:tc>
      </w:tr>
      <w:tr>
        <w:trPr>
          <w:cantSplit w:val="0"/>
          <w:tblHeader w:val="0"/>
        </w:trPr>
        <w:tc>
          <w:tcPr/>
          <w:p w:rsidR="00000000" w:rsidDel="00000000" w:rsidP="00000000" w:rsidRDefault="00000000" w:rsidRPr="00000000" w14:paraId="0000043F">
            <w:pPr>
              <w:rPr/>
            </w:pPr>
            <w:r w:rsidDel="00000000" w:rsidR="00000000" w:rsidRPr="00000000">
              <w:rPr>
                <w:rtl w:val="0"/>
              </w:rPr>
              <w:t xml:space="preserve">10</w:t>
            </w:r>
          </w:p>
        </w:tc>
        <w:tc>
          <w:tcPr/>
          <w:p w:rsidR="00000000" w:rsidDel="00000000" w:rsidP="00000000" w:rsidRDefault="00000000" w:rsidRPr="00000000" w14:paraId="00000440">
            <w:pPr>
              <w:rPr/>
            </w:pPr>
            <w:r w:rsidDel="00000000" w:rsidR="00000000" w:rsidRPr="00000000">
              <w:rPr>
                <w:rtl w:val="0"/>
              </w:rPr>
              <w:t xml:space="preserve">Studie-størrelse rationale</w:t>
            </w:r>
          </w:p>
        </w:tc>
        <w:tc>
          <w:tcPr/>
          <w:p w:rsidR="00000000" w:rsidDel="00000000" w:rsidP="00000000" w:rsidRDefault="00000000" w:rsidRPr="00000000" w14:paraId="00000441">
            <w:pPr>
              <w:rPr/>
            </w:pPr>
            <w:r w:rsidDel="00000000" w:rsidR="00000000" w:rsidRPr="00000000">
              <w:rPr>
                <w:rtl w:val="0"/>
              </w:rPr>
              <w:t xml:space="preserve">Metoder: Studie-størrelse (kvalitetsdata; consecutive behandlingsforløb)</w:t>
            </w:r>
          </w:p>
        </w:tc>
      </w:tr>
      <w:tr>
        <w:trPr>
          <w:cantSplit w:val="0"/>
          <w:tblHeader w:val="0"/>
        </w:trPr>
        <w:tc>
          <w:tcPr/>
          <w:p w:rsidR="00000000" w:rsidDel="00000000" w:rsidP="00000000" w:rsidRDefault="00000000" w:rsidRPr="00000000" w14:paraId="00000442">
            <w:pPr>
              <w:rPr/>
            </w:pPr>
            <w:r w:rsidDel="00000000" w:rsidR="00000000" w:rsidRPr="00000000">
              <w:rPr>
                <w:rtl w:val="0"/>
              </w:rPr>
              <w:t xml:space="preserve">11–12</w:t>
            </w:r>
          </w:p>
        </w:tc>
        <w:tc>
          <w:tcPr/>
          <w:p w:rsidR="00000000" w:rsidDel="00000000" w:rsidP="00000000" w:rsidRDefault="00000000" w:rsidRPr="00000000" w14:paraId="00000443">
            <w:pPr>
              <w:rPr/>
            </w:pPr>
            <w:r w:rsidDel="00000000" w:rsidR="00000000" w:rsidRPr="00000000">
              <w:rPr>
                <w:rtl w:val="0"/>
              </w:rPr>
              <w:t xml:space="preserve">Kvantitative variabler + statistik/manglende data</w:t>
            </w:r>
          </w:p>
        </w:tc>
        <w:tc>
          <w:tcPr/>
          <w:p w:rsidR="00000000" w:rsidDel="00000000" w:rsidP="00000000" w:rsidRDefault="00000000" w:rsidRPr="00000000" w14:paraId="00000444">
            <w:pPr>
              <w:rPr/>
            </w:pPr>
            <w:r w:rsidDel="00000000" w:rsidR="00000000" w:rsidRPr="00000000">
              <w:rPr>
                <w:rtl w:val="0"/>
              </w:rPr>
              <w:t xml:space="preserve">Metoder: statistik; resultater: analysetal; Bilag C/F</w:t>
            </w:r>
          </w:p>
        </w:tc>
      </w:tr>
      <w:tr>
        <w:trPr>
          <w:cantSplit w:val="0"/>
          <w:tblHeader w:val="0"/>
        </w:trPr>
        <w:tc>
          <w:tcPr/>
          <w:p w:rsidR="00000000" w:rsidDel="00000000" w:rsidP="00000000" w:rsidRDefault="00000000" w:rsidRPr="00000000" w14:paraId="00000445">
            <w:pPr>
              <w:rPr/>
            </w:pPr>
            <w:r w:rsidDel="00000000" w:rsidR="00000000" w:rsidRPr="00000000">
              <w:rPr>
                <w:rtl w:val="0"/>
              </w:rPr>
              <w:t xml:space="preserve">13</w:t>
            </w:r>
          </w:p>
        </w:tc>
        <w:tc>
          <w:tcPr/>
          <w:p w:rsidR="00000000" w:rsidDel="00000000" w:rsidP="00000000" w:rsidRDefault="00000000" w:rsidRPr="00000000" w14:paraId="00000446">
            <w:pPr>
              <w:rPr/>
            </w:pPr>
            <w:r w:rsidDel="00000000" w:rsidR="00000000" w:rsidRPr="00000000">
              <w:rPr>
                <w:rtl w:val="0"/>
              </w:rPr>
              <w:t xml:space="preserve">Flow og frafald</w:t>
            </w:r>
          </w:p>
        </w:tc>
        <w:tc>
          <w:tcPr/>
          <w:p w:rsidR="00000000" w:rsidDel="00000000" w:rsidP="00000000" w:rsidRDefault="00000000" w:rsidRPr="00000000" w14:paraId="00000447">
            <w:pPr>
              <w:rPr/>
            </w:pPr>
            <w:r w:rsidDel="00000000" w:rsidR="00000000" w:rsidRPr="00000000">
              <w:rPr>
                <w:rtl w:val="0"/>
              </w:rPr>
              <w:t xml:space="preserve">Resultater: Deltagerflow og analysetal (plan for udbygning)</w:t>
            </w:r>
          </w:p>
        </w:tc>
      </w:tr>
      <w:tr>
        <w:trPr>
          <w:cantSplit w:val="0"/>
          <w:tblHeader w:val="0"/>
        </w:trPr>
        <w:tc>
          <w:tcPr/>
          <w:p w:rsidR="00000000" w:rsidDel="00000000" w:rsidP="00000000" w:rsidRDefault="00000000" w:rsidRPr="00000000" w14:paraId="00000448">
            <w:pPr>
              <w:rPr/>
            </w:pPr>
            <w:r w:rsidDel="00000000" w:rsidR="00000000" w:rsidRPr="00000000">
              <w:rPr>
                <w:rtl w:val="0"/>
              </w:rPr>
              <w:t xml:space="preserve">14</w:t>
            </w:r>
          </w:p>
        </w:tc>
        <w:tc>
          <w:tcPr/>
          <w:p w:rsidR="00000000" w:rsidDel="00000000" w:rsidP="00000000" w:rsidRDefault="00000000" w:rsidRPr="00000000" w14:paraId="00000449">
            <w:pPr>
              <w:rPr/>
            </w:pPr>
            <w:r w:rsidDel="00000000" w:rsidR="00000000" w:rsidRPr="00000000">
              <w:rPr>
                <w:rtl w:val="0"/>
              </w:rPr>
              <w:t xml:space="preserve">Karakteristika ved inklusion</w:t>
            </w:r>
          </w:p>
        </w:tc>
        <w:tc>
          <w:tcPr/>
          <w:p w:rsidR="00000000" w:rsidDel="00000000" w:rsidP="00000000" w:rsidRDefault="00000000" w:rsidRPr="00000000" w14:paraId="0000044A">
            <w:pPr>
              <w:rPr/>
            </w:pPr>
            <w:r w:rsidDel="00000000" w:rsidR="00000000" w:rsidRPr="00000000">
              <w:rPr>
                <w:rtl w:val="0"/>
              </w:rPr>
              <w:t xml:space="preserve">Resultater: Karakteristika ved inklusion</w:t>
            </w:r>
          </w:p>
        </w:tc>
      </w:tr>
      <w:tr>
        <w:trPr>
          <w:cantSplit w:val="0"/>
          <w:tblHeader w:val="0"/>
        </w:trPr>
        <w:tc>
          <w:tcPr/>
          <w:p w:rsidR="00000000" w:rsidDel="00000000" w:rsidP="00000000" w:rsidRDefault="00000000" w:rsidRPr="00000000" w14:paraId="0000044B">
            <w:pPr>
              <w:rPr/>
            </w:pPr>
            <w:r w:rsidDel="00000000" w:rsidR="00000000" w:rsidRPr="00000000">
              <w:rPr>
                <w:rtl w:val="0"/>
              </w:rPr>
              <w:t xml:space="preserve">15–16</w:t>
            </w:r>
          </w:p>
        </w:tc>
        <w:tc>
          <w:tcPr/>
          <w:p w:rsidR="00000000" w:rsidDel="00000000" w:rsidP="00000000" w:rsidRDefault="00000000" w:rsidRPr="00000000" w14:paraId="0000044C">
            <w:pPr>
              <w:rPr/>
            </w:pPr>
            <w:r w:rsidDel="00000000" w:rsidR="00000000" w:rsidRPr="00000000">
              <w:rPr>
                <w:rtl w:val="0"/>
              </w:rPr>
              <w:t xml:space="preserve">Endepunkt data + hovedresultater</w:t>
            </w:r>
          </w:p>
        </w:tc>
        <w:tc>
          <w:tcPr/>
          <w:p w:rsidR="00000000" w:rsidDel="00000000" w:rsidP="00000000" w:rsidRDefault="00000000" w:rsidRPr="00000000" w14:paraId="0000044D">
            <w:pPr>
              <w:rPr/>
            </w:pPr>
            <w:r w:rsidDel="00000000" w:rsidR="00000000" w:rsidRPr="00000000">
              <w:rPr>
                <w:rtl w:val="0"/>
              </w:rPr>
              <w:t xml:space="preserve">Resultater: Endepunkt-tabeller</w:t>
            </w:r>
          </w:p>
        </w:tc>
      </w:tr>
      <w:tr>
        <w:trPr>
          <w:cantSplit w:val="0"/>
          <w:tblHeader w:val="0"/>
        </w:trPr>
        <w:tc>
          <w:tcPr/>
          <w:p w:rsidR="00000000" w:rsidDel="00000000" w:rsidP="00000000" w:rsidRDefault="00000000" w:rsidRPr="00000000" w14:paraId="0000044E">
            <w:pPr>
              <w:rPr/>
            </w:pPr>
            <w:r w:rsidDel="00000000" w:rsidR="00000000" w:rsidRPr="00000000">
              <w:rPr>
                <w:rtl w:val="0"/>
              </w:rPr>
              <w:t xml:space="preserve">17</w:t>
            </w:r>
          </w:p>
        </w:tc>
        <w:tc>
          <w:tcPr/>
          <w:p w:rsidR="00000000" w:rsidDel="00000000" w:rsidP="00000000" w:rsidRDefault="00000000" w:rsidRPr="00000000" w14:paraId="0000044F">
            <w:pPr>
              <w:rPr/>
            </w:pPr>
            <w:r w:rsidDel="00000000" w:rsidR="00000000" w:rsidRPr="00000000">
              <w:rPr>
                <w:rtl w:val="0"/>
              </w:rPr>
              <w:t xml:space="preserve">Andre analyser/sensitivitet</w:t>
            </w:r>
          </w:p>
        </w:tc>
        <w:tc>
          <w:tcPr/>
          <w:p w:rsidR="00000000" w:rsidDel="00000000" w:rsidP="00000000" w:rsidRDefault="00000000" w:rsidRPr="00000000" w14:paraId="00000450">
            <w:pPr>
              <w:rPr/>
            </w:pPr>
            <w:r w:rsidDel="00000000" w:rsidR="00000000" w:rsidRPr="00000000">
              <w:rPr>
                <w:rtl w:val="0"/>
              </w:rPr>
              <w:t xml:space="preserve">Metoder: planlagt; ikke udført i denne version</w:t>
            </w:r>
          </w:p>
        </w:tc>
      </w:tr>
      <w:tr>
        <w:trPr>
          <w:cantSplit w:val="0"/>
          <w:tblHeader w:val="0"/>
        </w:trPr>
        <w:tc>
          <w:tcPr/>
          <w:p w:rsidR="00000000" w:rsidDel="00000000" w:rsidP="00000000" w:rsidRDefault="00000000" w:rsidRPr="00000000" w14:paraId="00000451">
            <w:pPr>
              <w:rPr/>
            </w:pPr>
            <w:r w:rsidDel="00000000" w:rsidR="00000000" w:rsidRPr="00000000">
              <w:rPr>
                <w:rtl w:val="0"/>
              </w:rPr>
              <w:t xml:space="preserve">18–21</w:t>
            </w:r>
          </w:p>
        </w:tc>
        <w:tc>
          <w:tcPr/>
          <w:p w:rsidR="00000000" w:rsidDel="00000000" w:rsidP="00000000" w:rsidRDefault="00000000" w:rsidRPr="00000000" w14:paraId="00000452">
            <w:pPr>
              <w:rPr/>
            </w:pPr>
            <w:r w:rsidDel="00000000" w:rsidR="00000000" w:rsidRPr="00000000">
              <w:rPr>
                <w:rtl w:val="0"/>
              </w:rPr>
              <w:t xml:space="preserve">Diskussion: hovedfund, begrænsninger, fortolkning, generaliserbarhed</w:t>
            </w:r>
          </w:p>
        </w:tc>
        <w:tc>
          <w:tcPr/>
          <w:p w:rsidR="00000000" w:rsidDel="00000000" w:rsidP="00000000" w:rsidRDefault="00000000" w:rsidRPr="00000000" w14:paraId="00000453">
            <w:pPr>
              <w:rPr/>
            </w:pPr>
            <w:r w:rsidDel="00000000" w:rsidR="00000000" w:rsidRPr="00000000">
              <w:rPr>
                <w:rtl w:val="0"/>
              </w:rPr>
              <w:t xml:space="preserve">Diskussion (alle underafsnit)</w:t>
            </w:r>
          </w:p>
        </w:tc>
      </w:tr>
      <w:tr>
        <w:trPr>
          <w:cantSplit w:val="0"/>
          <w:tblHeader w:val="0"/>
        </w:trPr>
        <w:tc>
          <w:tcPr/>
          <w:p w:rsidR="00000000" w:rsidDel="00000000" w:rsidP="00000000" w:rsidRDefault="00000000" w:rsidRPr="00000000" w14:paraId="00000454">
            <w:pPr>
              <w:rPr/>
            </w:pPr>
            <w:r w:rsidDel="00000000" w:rsidR="00000000" w:rsidRPr="00000000">
              <w:rPr>
                <w:rtl w:val="0"/>
              </w:rPr>
              <w:t xml:space="preserve">22</w:t>
            </w:r>
          </w:p>
        </w:tc>
        <w:tc>
          <w:tcPr/>
          <w:p w:rsidR="00000000" w:rsidDel="00000000" w:rsidP="00000000" w:rsidRDefault="00000000" w:rsidRPr="00000000" w14:paraId="00000455">
            <w:pPr>
              <w:rPr/>
            </w:pPr>
            <w:r w:rsidDel="00000000" w:rsidR="00000000" w:rsidRPr="00000000">
              <w:rPr>
                <w:rtl w:val="0"/>
              </w:rPr>
              <w:t xml:space="preserve">Funding/rolle</w:t>
            </w:r>
          </w:p>
        </w:tc>
        <w:tc>
          <w:tcPr/>
          <w:p w:rsidR="00000000" w:rsidDel="00000000" w:rsidP="00000000" w:rsidRDefault="00000000" w:rsidRPr="00000000" w14:paraId="00000456">
            <w:pPr>
              <w:rPr/>
            </w:pPr>
            <w:r w:rsidDel="00000000" w:rsidR="00000000" w:rsidRPr="00000000">
              <w:rPr>
                <w:rtl w:val="0"/>
              </w:rPr>
              <w:t xml:space="preserve">RNC-Skejby, Egne data.</w:t>
            </w:r>
          </w:p>
        </w:tc>
      </w:tr>
    </w:tbl>
    <w:p w:rsidR="00000000" w:rsidDel="00000000" w:rsidP="00000000" w:rsidRDefault="00000000" w:rsidRPr="00000000" w14:paraId="00000457">
      <w:pPr>
        <w:rPr/>
      </w:pPr>
      <w:r w:rsidDel="00000000" w:rsidR="00000000" w:rsidRPr="00000000">
        <w:rPr>
          <w:rtl w:val="0"/>
        </w:rPr>
      </w:r>
    </w:p>
    <w:sectPr>
      <w:foot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8">
    <w:pPr>
      <w:rPr/>
    </w:pPr>
    <w:r w:rsidDel="00000000" w:rsidR="00000000" w:rsidRPr="00000000">
      <w:rPr>
        <w:rFonts w:ascii="Aptos" w:cs="Aptos" w:eastAsia="Aptos" w:hAnsi="Aptos"/>
        <w:sz w:val="16"/>
        <w:szCs w:val="16"/>
        <w:rtl w:val="0"/>
      </w:rPr>
      <w:t xml:space="preserve">RNC Skejby - ReMind Value Dossier - Neuroinflammation som primær patofysiologisk arbejdshypotese - v1.8.2</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0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80" w:before="16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40" w:before="12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